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B4" w:rsidRPr="00A901ED" w:rsidRDefault="006061B4" w:rsidP="006061B4">
      <w:pPr>
        <w:rPr>
          <w:rFonts w:cs="Arial"/>
          <w:color w:val="000000" w:themeColor="text1"/>
          <w:sz w:val="24"/>
          <w:szCs w:val="24"/>
        </w:rPr>
      </w:pPr>
      <w:r w:rsidRPr="00A901ED">
        <w:rPr>
          <w:rFonts w:cs="Arial"/>
          <w:color w:val="000000" w:themeColor="text1"/>
          <w:sz w:val="24"/>
          <w:szCs w:val="24"/>
        </w:rPr>
        <w:t>Table: 1</w:t>
      </w:r>
      <w:r w:rsidRPr="00A901ED">
        <w:rPr>
          <w:color w:val="000000" w:themeColor="text1"/>
          <w:sz w:val="24"/>
          <w:szCs w:val="24"/>
        </w:rPr>
        <w:fldChar w:fldCharType="begin"/>
      </w:r>
      <w:r w:rsidRPr="00A901ED">
        <w:rPr>
          <w:color w:val="000000" w:themeColor="text1"/>
          <w:sz w:val="24"/>
          <w:szCs w:val="24"/>
        </w:rPr>
        <w:instrText xml:space="preserve"> LINK Excel.Sheet.12 "C:\\Users\\mannazg\\Desktop\\DEMOG cYCLO 31.xlsx" "Sheet2!R4C4:R18C5" \a \f 4 \h  \* MERGEFORMAT </w:instrText>
      </w:r>
      <w:r w:rsidRPr="00A901ED">
        <w:rPr>
          <w:color w:val="000000" w:themeColor="text1"/>
          <w:sz w:val="24"/>
          <w:szCs w:val="24"/>
        </w:rPr>
        <w:fldChar w:fldCharType="separate"/>
      </w:r>
    </w:p>
    <w:tbl>
      <w:tblPr>
        <w:tblpPr w:leftFromText="180" w:rightFromText="180" w:vertAnchor="text" w:tblpY="1"/>
        <w:tblOverlap w:val="never"/>
        <w:tblW w:w="5280" w:type="dxa"/>
        <w:tblLook w:val="04A0" w:firstRow="1" w:lastRow="0" w:firstColumn="1" w:lastColumn="0" w:noHBand="0" w:noVBand="1"/>
      </w:tblPr>
      <w:tblGrid>
        <w:gridCol w:w="2340"/>
        <w:gridCol w:w="2940"/>
      </w:tblGrid>
      <w:tr w:rsidR="006061B4" w:rsidRPr="00A901ED" w:rsidTr="00F409DD">
        <w:trPr>
          <w:trHeight w:val="300"/>
        </w:trPr>
        <w:tc>
          <w:tcPr>
            <w:tcW w:w="5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Demographics of SLE Patients treated with Cyclophosphamide</w:t>
            </w:r>
          </w:p>
        </w:tc>
      </w:tr>
      <w:tr w:rsidR="006061B4" w:rsidRPr="00A901ED" w:rsidTr="00F409DD">
        <w:trPr>
          <w:trHeight w:val="293"/>
        </w:trPr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</w:tr>
      <w:tr w:rsidR="006061B4" w:rsidRPr="00A901ED" w:rsidTr="00F409DD">
        <w:trPr>
          <w:trHeight w:val="293"/>
        </w:trPr>
        <w:tc>
          <w:tcPr>
            <w:tcW w:w="23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    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  Mean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37.9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  STD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8.6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Ethnicity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African American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 (25.8%)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Asian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(6.4%)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Caucasian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 (19.4%)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Hispanic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 (48.4%)</w:t>
            </w: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Female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27 (87.1%)</w:t>
            </w:r>
          </w:p>
        </w:tc>
      </w:tr>
      <w:tr w:rsidR="006061B4" w:rsidRPr="00A901ED" w:rsidTr="00F409D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Male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 (12.9%)</w:t>
            </w:r>
          </w:p>
        </w:tc>
      </w:tr>
    </w:tbl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A901ED">
        <w:rPr>
          <w:rFonts w:cs="Arial"/>
          <w:color w:val="000000" w:themeColor="text1"/>
          <w:sz w:val="24"/>
          <w:szCs w:val="24"/>
        </w:rPr>
        <w:fldChar w:fldCharType="end"/>
      </w: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  <w:r w:rsidRPr="00A901ED">
        <w:rPr>
          <w:rFonts w:eastAsiaTheme="minorEastAsia" w:cs="Arial"/>
          <w:color w:val="000000" w:themeColor="text1"/>
          <w:sz w:val="24"/>
          <w:szCs w:val="24"/>
        </w:rPr>
        <w:t>**Total 42 courses of cyclophosphamide in 31 patients; denominator used is 42.</w:t>
      </w:r>
    </w:p>
    <w:p w:rsidR="006061B4" w:rsidRPr="00A901ED" w:rsidRDefault="006061B4" w:rsidP="006061B4">
      <w:pPr>
        <w:rPr>
          <w:rFonts w:cs="Arial"/>
          <w:color w:val="000000" w:themeColor="text1"/>
          <w:sz w:val="24"/>
          <w:szCs w:val="24"/>
        </w:r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2860"/>
        <w:gridCol w:w="2380"/>
        <w:gridCol w:w="2100"/>
        <w:gridCol w:w="1600"/>
        <w:gridCol w:w="1560"/>
      </w:tblGrid>
      <w:tr w:rsidR="006061B4" w:rsidRPr="00A901ED" w:rsidTr="00F409DD">
        <w:trPr>
          <w:trHeight w:val="300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Table 2 Incidence rate using Poisson-regression model patients treated with Cyclophosphamide.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480"/>
        </w:trPr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Type of infection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Number of Infection onsets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Incidence rate (per100) person-Year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(95% CL) Per100  person-year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Over all Infection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67.42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(44.34 - 102.48)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UTI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24.31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(11.56  - 51.14)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Pos. Blood </w:t>
            </w: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Cx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0.78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(0.01  -  74.95)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Bacterial PNA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1.32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(0.04  - 39.89)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Pneumocystis </w:t>
            </w: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carinii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1.29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(0.02  - 44.28)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Fungal Infection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5.62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(1.07  - 29.44)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URI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44.65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(24.82  - 80.35)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Bacterial Infection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2.41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(0.21  - 27.55)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Viral Infection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20.8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(8.54  - 50.65)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Viral Gastroenteritis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9.13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(2.67  - 31.21)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315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*Incidence rates are the number of events per 100 person-years.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The age and ANC adjusted Poisson-regression model were used to analyze the incidence rate and</w:t>
            </w:r>
          </w:p>
        </w:tc>
      </w:tr>
      <w:tr w:rsidR="006061B4" w:rsidRPr="00A901ED" w:rsidTr="00F409DD">
        <w:trPr>
          <w:trHeight w:val="240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their</w:t>
            </w:r>
            <w:proofErr w:type="gram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95% confidence intervals (95</w:t>
            </w:r>
            <w:r w:rsidRPr="00A901E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%</w:t>
            </w: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Cls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6061B4" w:rsidRPr="00A901ED" w:rsidRDefault="006061B4" w:rsidP="006061B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</w:p>
    <w:p w:rsidR="006061B4" w:rsidRPr="00A901ED" w:rsidRDefault="006061B4" w:rsidP="006061B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  <w:r w:rsidRPr="00A901ED">
        <w:rPr>
          <w:rFonts w:eastAsiaTheme="minorEastAsia" w:cs="Arial"/>
          <w:color w:val="000000" w:themeColor="text1"/>
          <w:sz w:val="24"/>
          <w:szCs w:val="24"/>
        </w:rPr>
        <w:t>**Total 42 courses of cyclophosphamide in 31 patients; denominator used is 42.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2760"/>
        <w:gridCol w:w="1200"/>
        <w:gridCol w:w="2300"/>
        <w:gridCol w:w="1660"/>
        <w:gridCol w:w="1760"/>
      </w:tblGrid>
      <w:tr w:rsidR="006061B4" w:rsidRPr="00A901ED" w:rsidTr="00F409DD">
        <w:trPr>
          <w:trHeight w:val="258"/>
        </w:trPr>
        <w:tc>
          <w:tcPr>
            <w:tcW w:w="9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lastRenderedPageBreak/>
              <w:t>Table-3 Comparing steroids on incidence of infection using time dependent multivariate analysis patients treated with Cyclophosphamide</w:t>
            </w:r>
          </w:p>
        </w:tc>
      </w:tr>
      <w:tr w:rsidR="006061B4" w:rsidRPr="00A901ED" w:rsidTr="00F409DD">
        <w:trPr>
          <w:trHeight w:val="570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Type of Infection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  <w:t xml:space="preserve">Number of Events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  <w:t xml:space="preserve"> Cumulative Steroid (prednisone  mg equivalent)  Mean ± STD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A901ED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</w:rPr>
              <w:t xml:space="preserve"> value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UTI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0.0240**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13773.6 ± 7076.4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n=35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11432.1 ± 5433.6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Pos. Blood </w:t>
            </w:r>
            <w:proofErr w:type="spellStart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Cx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0.0394**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9010.8 ± 4967.4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12021.9 ± 5795.6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Bacterial PNA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0.0247**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17566.7 ± 11030.9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11546.7 ± 5417.2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Pneumocystis </w:t>
            </w:r>
            <w:proofErr w:type="spellStart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carinii</w:t>
            </w:r>
            <w:proofErr w:type="spellEnd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PNA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0.0150**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23305.0 ± 0.0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n=41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11554.2 ± 5484.9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Fungal Infection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0.0544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8418.3 ± 2392.4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n=39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12054.8 ± 5822.8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URI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0.0168**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13649.2 ± 7371.2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n=29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11039.2 ± 4749.2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Bacterial Infection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0.0216**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18360.0 ± 0.0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n=41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11678.9 ± 5710.9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Viral Infection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0.0113**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15292.3 ± 5935.1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n=34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10949.1 ± 5419.5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Viral Gastroenteritis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0.0132**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Infection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17584.4 ± 7008.6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trHeight w:val="240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      No Infection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</w:rPr>
              <w:t>n=35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11373.1 ± 5457.4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061B4" w:rsidRPr="00A901ED" w:rsidTr="00F409DD">
        <w:trPr>
          <w:trHeight w:val="258"/>
        </w:trPr>
        <w:tc>
          <w:tcPr>
            <w:tcW w:w="96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P  Value (*) was obtained using Cox hazard proportional time to event model</w:t>
            </w:r>
          </w:p>
        </w:tc>
      </w:tr>
    </w:tbl>
    <w:p w:rsidR="006061B4" w:rsidRPr="00A901ED" w:rsidRDefault="006061B4" w:rsidP="006061B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 w:themeColor="text1"/>
          <w:sz w:val="24"/>
          <w:szCs w:val="24"/>
        </w:rPr>
      </w:pPr>
      <w:r w:rsidRPr="00A901ED">
        <w:rPr>
          <w:rFonts w:eastAsiaTheme="minorEastAsia" w:cs="Arial"/>
          <w:color w:val="000000" w:themeColor="text1"/>
          <w:sz w:val="24"/>
          <w:szCs w:val="24"/>
        </w:rPr>
        <w:t>**Total 42 courses of cyclophosphamide in 31 patients; denominator used is 42.</w:t>
      </w:r>
    </w:p>
    <w:p w:rsidR="006061B4" w:rsidRPr="00A901ED" w:rsidRDefault="006061B4" w:rsidP="006061B4">
      <w:pPr>
        <w:rPr>
          <w:rFonts w:cs="Arial"/>
          <w:color w:val="000000" w:themeColor="text1"/>
          <w:sz w:val="24"/>
          <w:szCs w:val="24"/>
        </w:rPr>
      </w:pPr>
    </w:p>
    <w:tbl>
      <w:tblPr>
        <w:tblW w:w="8854" w:type="dxa"/>
        <w:tblLook w:val="04A0" w:firstRow="1" w:lastRow="0" w:firstColumn="1" w:lastColumn="0" w:noHBand="0" w:noVBand="1"/>
      </w:tblPr>
      <w:tblGrid>
        <w:gridCol w:w="2925"/>
        <w:gridCol w:w="415"/>
        <w:gridCol w:w="1095"/>
        <w:gridCol w:w="151"/>
        <w:gridCol w:w="1528"/>
        <w:gridCol w:w="63"/>
        <w:gridCol w:w="1412"/>
        <w:gridCol w:w="41"/>
        <w:gridCol w:w="1224"/>
      </w:tblGrid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7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Table 4 Infection rates for opportunistic and serious infection patients treated with Cyclophosphamide</w:t>
            </w:r>
          </w:p>
        </w:tc>
      </w:tr>
      <w:tr w:rsidR="006061B4" w:rsidRPr="00A901ED" w:rsidTr="00F409DD">
        <w:trPr>
          <w:gridAfter w:val="1"/>
          <w:wAfter w:w="1314" w:type="dxa"/>
          <w:trHeight w:val="480"/>
        </w:trPr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Type of infection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Number of Infection 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Incidence rate (per100) person-Year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(95% CL) Per100  person-year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Opportunistic Infections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39.648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(22.03  -  71.39)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PJP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1.290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(0.037 -  44.280)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Mucosal candidiasis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4.624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(0.875 -  24.420)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Fungal skin infection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(0.000  -   0.000)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Shingles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9.107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(2.292  -  36.192)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HSV-1 infection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7.477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(1.945  -  28.752)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Serious Infections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12.948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( 4.42  -   39.94)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Line sepsis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0.797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(0.009  -  73.224)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ind w:firstLineChars="300" w:firstLine="72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UTI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4.279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(0.694  -  28.388)</w:t>
            </w:r>
          </w:p>
        </w:tc>
      </w:tr>
      <w:tr w:rsidR="006061B4" w:rsidRPr="00A901ED" w:rsidTr="00F409DD">
        <w:trPr>
          <w:gridAfter w:val="1"/>
          <w:wAfter w:w="1314" w:type="dxa"/>
          <w:trHeight w:val="240"/>
        </w:trPr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Serious PJP Infection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1.290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(0.037 -  44.280)</w:t>
            </w:r>
          </w:p>
        </w:tc>
      </w:tr>
      <w:tr w:rsidR="006061B4" w:rsidRPr="00A901ED" w:rsidTr="00F409DD">
        <w:trPr>
          <w:trHeight w:val="312"/>
        </w:trPr>
        <w:tc>
          <w:tcPr>
            <w:tcW w:w="885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Incidence rates are the number of events per 100 person-years.</w:t>
            </w: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The age and ANC adjusted Poisson-regression model were used to analyze the incidence rate and their 95% confidence intervals (95</w:t>
            </w:r>
            <w:r w:rsidRPr="00A901E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%</w:t>
            </w:r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Cls</w:t>
            </w:r>
            <w:proofErr w:type="spellEnd"/>
            <w:r w:rsidRPr="00A901ED">
              <w:rPr>
                <w:rFonts w:eastAsia="Times New Roman"/>
                <w:color w:val="000000" w:themeColor="text1"/>
                <w:sz w:val="24"/>
                <w:szCs w:val="24"/>
              </w:rPr>
              <w:t>).</w:t>
            </w: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Theme="minorEastAsia" w:cs="Arial"/>
                <w:color w:val="000000" w:themeColor="text1"/>
                <w:sz w:val="24"/>
                <w:szCs w:val="24"/>
              </w:rPr>
              <w:t>**Total 42 courses of cyclophosphamide in 31 patients; denominator used is 42.</w:t>
            </w: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Table-5  Multivariate Analysis comparing  Age, WBC and ANC associated with and without infections with Cyclophosphamide therapy</w:t>
            </w:r>
          </w:p>
        </w:tc>
      </w:tr>
      <w:tr w:rsidR="006061B4" w:rsidRPr="00A901ED" w:rsidTr="00F409DD">
        <w:trPr>
          <w:trHeight w:val="237"/>
        </w:trPr>
        <w:tc>
          <w:tcPr>
            <w:tcW w:w="29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Factor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Infection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No Infection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value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Hazard Ratio</w:t>
            </w:r>
          </w:p>
        </w:tc>
      </w:tr>
      <w:tr w:rsidR="006061B4" w:rsidRPr="00A901ED" w:rsidTr="00F409DD">
        <w:trPr>
          <w:trHeight w:val="252"/>
        </w:trPr>
        <w:tc>
          <w:tcPr>
            <w:tcW w:w="29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A901ED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n=24</w:t>
            </w: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A901ED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n=18</w:t>
            </w: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061B4" w:rsidRPr="00A901ED" w:rsidTr="00F409DD">
        <w:trPr>
          <w:trHeight w:val="237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34.5 ± 8.6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39.9 ±9.2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0.1158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single" w:sz="8" w:space="0" w:color="C1C1C1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1.050</w:t>
            </w:r>
          </w:p>
        </w:tc>
      </w:tr>
      <w:tr w:rsidR="006061B4" w:rsidRPr="00A901ED" w:rsidTr="00F409DD">
        <w:trPr>
          <w:trHeight w:val="237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WBC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7.7 ± 4.2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8.1 ± 3.2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0.5536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single" w:sz="8" w:space="0" w:color="C1C1C1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1.225</w:t>
            </w:r>
          </w:p>
        </w:tc>
      </w:tr>
      <w:tr w:rsidR="006061B4" w:rsidRPr="00A901ED" w:rsidTr="00F409DD">
        <w:trPr>
          <w:trHeight w:val="80"/>
        </w:trPr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ANC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6.0 ± 4.0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6.3 ± 3.0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0.7035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C1C1C1"/>
            </w:tcBorders>
            <w:shd w:val="clear" w:color="auto" w:fill="auto"/>
            <w:vAlign w:val="center"/>
            <w:hideMark/>
          </w:tcPr>
          <w:p w:rsidR="006061B4" w:rsidRPr="00A901ED" w:rsidRDefault="006061B4" w:rsidP="00F409D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901E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0.874</w:t>
            </w:r>
          </w:p>
        </w:tc>
      </w:tr>
    </w:tbl>
    <w:p w:rsidR="00575F61" w:rsidRDefault="00575F61">
      <w:bookmarkStart w:id="0" w:name="_GoBack"/>
      <w:bookmarkEnd w:id="0"/>
    </w:p>
    <w:sectPr w:rsidR="0057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B4"/>
    <w:rsid w:val="00575F61"/>
    <w:rsid w:val="006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9AD8-6A1B-4014-AE97-2CA584F6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Choudhury, Shubhasree (NIH/NIAMS) [E]</dc:creator>
  <cp:keywords/>
  <dc:description/>
  <cp:lastModifiedBy>Choudhury, Shubhasree (NIH/NIAMS) [E]</cp:lastModifiedBy>
  <cp:revision>1</cp:revision>
  <dcterms:created xsi:type="dcterms:W3CDTF">2016-01-15T22:22:00Z</dcterms:created>
  <dcterms:modified xsi:type="dcterms:W3CDTF">2016-01-15T22:22:00Z</dcterms:modified>
</cp:coreProperties>
</file>