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850"/>
        <w:gridCol w:w="1318"/>
        <w:gridCol w:w="3502"/>
      </w:tblGrid>
      <w:tr w:rsidR="00BE61DA" w14:paraId="6966912F" w14:textId="77777777" w:rsidTr="00BE61DA">
        <w:tc>
          <w:tcPr>
            <w:tcW w:w="2660" w:type="dxa"/>
          </w:tcPr>
          <w:p w14:paraId="1938A76A" w14:textId="77777777" w:rsidR="00BE61DA" w:rsidRDefault="00BE61DA">
            <w:r>
              <w:t>Authors</w:t>
            </w:r>
          </w:p>
        </w:tc>
        <w:tc>
          <w:tcPr>
            <w:tcW w:w="850" w:type="dxa"/>
          </w:tcPr>
          <w:p w14:paraId="2D7B3B4A" w14:textId="77777777" w:rsidR="00BE61DA" w:rsidRDefault="00BE61DA">
            <w:r>
              <w:t>Year</w:t>
            </w:r>
          </w:p>
        </w:tc>
        <w:tc>
          <w:tcPr>
            <w:tcW w:w="1318" w:type="dxa"/>
          </w:tcPr>
          <w:p w14:paraId="6B9E5F0C" w14:textId="77777777" w:rsidR="00BE61DA" w:rsidRDefault="00BE61DA">
            <w:r>
              <w:t>Number of Cases</w:t>
            </w:r>
          </w:p>
        </w:tc>
        <w:tc>
          <w:tcPr>
            <w:tcW w:w="3502" w:type="dxa"/>
          </w:tcPr>
          <w:p w14:paraId="35B12F0B" w14:textId="77777777" w:rsidR="00BE61DA" w:rsidRDefault="00BE61DA">
            <w:r>
              <w:t>Details</w:t>
            </w:r>
          </w:p>
        </w:tc>
      </w:tr>
      <w:tr w:rsidR="00BE61DA" w14:paraId="2FD14D2E" w14:textId="77777777" w:rsidTr="00BE61DA">
        <w:tc>
          <w:tcPr>
            <w:tcW w:w="2660" w:type="dxa"/>
          </w:tcPr>
          <w:p w14:paraId="1EDCB043" w14:textId="77777777" w:rsidR="00BE61DA" w:rsidRDefault="00BE61DA">
            <w:r>
              <w:t>Borne et al. (18)</w:t>
            </w:r>
          </w:p>
        </w:tc>
        <w:tc>
          <w:tcPr>
            <w:tcW w:w="850" w:type="dxa"/>
          </w:tcPr>
          <w:p w14:paraId="1362BB4E" w14:textId="77777777" w:rsidR="00BE61DA" w:rsidRDefault="00BE61DA">
            <w:r>
              <w:t>1984</w:t>
            </w:r>
          </w:p>
        </w:tc>
        <w:tc>
          <w:tcPr>
            <w:tcW w:w="1318" w:type="dxa"/>
          </w:tcPr>
          <w:p w14:paraId="4DB86552" w14:textId="77777777" w:rsidR="00BE61DA" w:rsidRDefault="00BE61DA">
            <w:r>
              <w:t>18</w:t>
            </w:r>
          </w:p>
        </w:tc>
        <w:tc>
          <w:tcPr>
            <w:tcW w:w="3502" w:type="dxa"/>
          </w:tcPr>
          <w:p w14:paraId="3613C74B" w14:textId="77777777" w:rsidR="00BE61DA" w:rsidRDefault="00BE61DA" w:rsidP="00BE61DA">
            <w:pPr>
              <w:ind w:left="-8"/>
            </w:pPr>
            <w:r>
              <w:t>C2 pedicle fracture</w:t>
            </w:r>
          </w:p>
        </w:tc>
      </w:tr>
      <w:tr w:rsidR="00BE61DA" w14:paraId="3FBD007A" w14:textId="77777777" w:rsidTr="00BE61DA">
        <w:tc>
          <w:tcPr>
            <w:tcW w:w="2660" w:type="dxa"/>
          </w:tcPr>
          <w:p w14:paraId="0B8ABBC0" w14:textId="77777777" w:rsidR="00BE61DA" w:rsidRDefault="00BE61DA">
            <w:r>
              <w:t>Hadley et al. (2)</w:t>
            </w:r>
          </w:p>
        </w:tc>
        <w:tc>
          <w:tcPr>
            <w:tcW w:w="850" w:type="dxa"/>
          </w:tcPr>
          <w:p w14:paraId="645166A6" w14:textId="77777777" w:rsidR="00BE61DA" w:rsidRDefault="00BE61DA">
            <w:r>
              <w:t>1985</w:t>
            </w:r>
          </w:p>
        </w:tc>
        <w:tc>
          <w:tcPr>
            <w:tcW w:w="1318" w:type="dxa"/>
          </w:tcPr>
          <w:p w14:paraId="21DBED76" w14:textId="77777777" w:rsidR="00BE61DA" w:rsidRDefault="00BE61DA">
            <w:r>
              <w:t>2</w:t>
            </w:r>
          </w:p>
        </w:tc>
        <w:tc>
          <w:tcPr>
            <w:tcW w:w="3502" w:type="dxa"/>
          </w:tcPr>
          <w:p w14:paraId="0D3184B6" w14:textId="77777777" w:rsidR="00BE61DA" w:rsidRDefault="00BE61DA">
            <w:r>
              <w:t>C2 pedicle fracture</w:t>
            </w:r>
          </w:p>
        </w:tc>
      </w:tr>
      <w:tr w:rsidR="00BE61DA" w14:paraId="77B96725" w14:textId="77777777" w:rsidTr="00BE61DA">
        <w:tc>
          <w:tcPr>
            <w:tcW w:w="2660" w:type="dxa"/>
          </w:tcPr>
          <w:p w14:paraId="50C8114D" w14:textId="77777777" w:rsidR="00BE61DA" w:rsidRDefault="00BE61DA">
            <w:r>
              <w:t>Craig and Hodgson (6)</w:t>
            </w:r>
          </w:p>
        </w:tc>
        <w:tc>
          <w:tcPr>
            <w:tcW w:w="850" w:type="dxa"/>
          </w:tcPr>
          <w:p w14:paraId="264C8DAB" w14:textId="77777777" w:rsidR="00BE61DA" w:rsidRDefault="00BE61DA">
            <w:r>
              <w:t>1991</w:t>
            </w:r>
          </w:p>
        </w:tc>
        <w:tc>
          <w:tcPr>
            <w:tcW w:w="1318" w:type="dxa"/>
          </w:tcPr>
          <w:p w14:paraId="61E392AA" w14:textId="77777777" w:rsidR="00BE61DA" w:rsidRDefault="00BE61DA">
            <w:r>
              <w:t>7</w:t>
            </w:r>
          </w:p>
        </w:tc>
        <w:tc>
          <w:tcPr>
            <w:tcW w:w="3502" w:type="dxa"/>
          </w:tcPr>
          <w:p w14:paraId="727E70C7" w14:textId="77777777" w:rsidR="00BE61DA" w:rsidRDefault="00BE61DA">
            <w:r>
              <w:t>Including C2 superior articulating facets fractures</w:t>
            </w:r>
          </w:p>
        </w:tc>
      </w:tr>
      <w:tr w:rsidR="00BE61DA" w14:paraId="3801A2AB" w14:textId="77777777" w:rsidTr="00BE61DA">
        <w:tc>
          <w:tcPr>
            <w:tcW w:w="2660" w:type="dxa"/>
          </w:tcPr>
          <w:p w14:paraId="1EB6E32A" w14:textId="77777777" w:rsidR="00BE61DA" w:rsidRDefault="00BE61DA">
            <w:r>
              <w:t>Cokluk et al. (1)</w:t>
            </w:r>
          </w:p>
        </w:tc>
        <w:tc>
          <w:tcPr>
            <w:tcW w:w="850" w:type="dxa"/>
          </w:tcPr>
          <w:p w14:paraId="69358B50" w14:textId="77777777" w:rsidR="00BE61DA" w:rsidRDefault="00BE61DA">
            <w:r>
              <w:t>2005</w:t>
            </w:r>
          </w:p>
        </w:tc>
        <w:tc>
          <w:tcPr>
            <w:tcW w:w="1318" w:type="dxa"/>
          </w:tcPr>
          <w:p w14:paraId="462E59B9" w14:textId="77777777" w:rsidR="00BE61DA" w:rsidRDefault="00BE61DA">
            <w:r>
              <w:t>2</w:t>
            </w:r>
          </w:p>
        </w:tc>
        <w:tc>
          <w:tcPr>
            <w:tcW w:w="3502" w:type="dxa"/>
          </w:tcPr>
          <w:p w14:paraId="7B34E9FE" w14:textId="48494133" w:rsidR="00BE61DA" w:rsidRDefault="00BE61DA">
            <w:r>
              <w:t>C2 pedicle fracture</w:t>
            </w:r>
            <w:r w:rsidR="001F6473">
              <w:t xml:space="preserve"> </w:t>
            </w:r>
            <w:r w:rsidR="001F6473" w:rsidRPr="00FB61DB">
              <w:rPr>
                <w:sz w:val="20"/>
                <w:szCs w:val="20"/>
              </w:rPr>
              <w:t>(Revised number of patients was found as 7 including previously published two cases)</w:t>
            </w:r>
          </w:p>
        </w:tc>
        <w:bookmarkStart w:id="0" w:name="_GoBack"/>
        <w:bookmarkEnd w:id="0"/>
      </w:tr>
    </w:tbl>
    <w:p w14:paraId="31CA5B74" w14:textId="77777777" w:rsidR="00ED561D" w:rsidRDefault="00ED561D"/>
    <w:p w14:paraId="3B23491B" w14:textId="77777777" w:rsidR="006C5A68" w:rsidRDefault="006C5A68"/>
    <w:p w14:paraId="53B87416" w14:textId="77777777" w:rsidR="006C5A68" w:rsidRDefault="006C5A68">
      <w:r>
        <w:t xml:space="preserve">Table 1. The summary of the reported cases of pedicle fractures of C2. </w:t>
      </w:r>
    </w:p>
    <w:sectPr w:rsidR="006C5A68" w:rsidSect="00172C9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DA"/>
    <w:rsid w:val="00172C9C"/>
    <w:rsid w:val="001F6473"/>
    <w:rsid w:val="006C5A68"/>
    <w:rsid w:val="00BE61DA"/>
    <w:rsid w:val="00ED561D"/>
    <w:rsid w:val="00F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DEF5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356</Characters>
  <Application>Microsoft Macintosh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Cokluk</dc:creator>
  <cp:keywords/>
  <dc:description/>
  <cp:lastModifiedBy>Cengiz Cokluk</cp:lastModifiedBy>
  <cp:revision>4</cp:revision>
  <dcterms:created xsi:type="dcterms:W3CDTF">2017-01-28T20:57:00Z</dcterms:created>
  <dcterms:modified xsi:type="dcterms:W3CDTF">2017-01-31T20:13:00Z</dcterms:modified>
</cp:coreProperties>
</file>