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441" w:rsidRPr="00E22441" w:rsidRDefault="00E22441" w:rsidP="00025D54">
      <w:pPr>
        <w:pStyle w:val="Caption"/>
        <w:keepNext/>
        <w:spacing w:before="0" w:after="0" w:line="480" w:lineRule="auto"/>
        <w:jc w:val="both"/>
        <w:rPr>
          <w:b w:val="0"/>
          <w:sz w:val="24"/>
          <w:szCs w:val="24"/>
        </w:rPr>
      </w:pPr>
      <w:bookmarkStart w:id="0" w:name="_Toc256759610"/>
      <w:bookmarkStart w:id="1" w:name="_GoBack"/>
      <w:bookmarkEnd w:id="1"/>
      <w:r>
        <w:rPr>
          <w:b w:val="0"/>
          <w:sz w:val="24"/>
          <w:szCs w:val="24"/>
        </w:rPr>
        <w:t>Table 3</w:t>
      </w:r>
    </w:p>
    <w:p w:rsidR="00955646" w:rsidRPr="00955646" w:rsidRDefault="00955646" w:rsidP="00025D54">
      <w:pPr>
        <w:pStyle w:val="Caption"/>
        <w:keepNext/>
        <w:spacing w:before="0" w:after="0" w:line="480" w:lineRule="auto"/>
        <w:jc w:val="both"/>
        <w:rPr>
          <w:b w:val="0"/>
          <w:i/>
          <w:sz w:val="24"/>
          <w:szCs w:val="24"/>
        </w:rPr>
      </w:pPr>
      <w:r>
        <w:rPr>
          <w:b w:val="0"/>
          <w:i/>
          <w:sz w:val="24"/>
          <w:szCs w:val="24"/>
        </w:rPr>
        <w:t>A Table Illustrating How to Perform Behavioural Tasks and Their Measurable O</w:t>
      </w:r>
      <w:r w:rsidRPr="00955646">
        <w:rPr>
          <w:b w:val="0"/>
          <w:i/>
          <w:sz w:val="24"/>
          <w:szCs w:val="24"/>
        </w:rPr>
        <w:t>utcomes</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4699"/>
        <w:gridCol w:w="2831"/>
      </w:tblGrid>
      <w:tr w:rsidR="00025D54" w:rsidRPr="008969F8" w:rsidTr="00025D54">
        <w:trPr>
          <w:trHeight w:val="397"/>
        </w:trPr>
        <w:tc>
          <w:tcPr>
            <w:tcW w:w="1496" w:type="dxa"/>
            <w:tcBorders>
              <w:top w:val="nil"/>
              <w:left w:val="nil"/>
              <w:right w:val="nil"/>
            </w:tcBorders>
            <w:shd w:val="clear" w:color="auto" w:fill="auto"/>
          </w:tcPr>
          <w:p w:rsidR="00025D54" w:rsidRPr="008969F8" w:rsidRDefault="00025D54" w:rsidP="009B7CB0">
            <w:pPr>
              <w:jc w:val="left"/>
              <w:rPr>
                <w:b/>
                <w:sz w:val="18"/>
                <w:szCs w:val="18"/>
              </w:rPr>
            </w:pPr>
          </w:p>
        </w:tc>
        <w:tc>
          <w:tcPr>
            <w:tcW w:w="4699" w:type="dxa"/>
            <w:tcBorders>
              <w:top w:val="nil"/>
              <w:left w:val="nil"/>
              <w:right w:val="nil"/>
            </w:tcBorders>
            <w:shd w:val="clear" w:color="auto" w:fill="auto"/>
          </w:tcPr>
          <w:p w:rsidR="00025D54" w:rsidRPr="008969F8" w:rsidRDefault="00025D54" w:rsidP="000D617B">
            <w:pPr>
              <w:jc w:val="center"/>
              <w:rPr>
                <w:b/>
                <w:sz w:val="18"/>
                <w:szCs w:val="18"/>
              </w:rPr>
            </w:pPr>
          </w:p>
        </w:tc>
        <w:tc>
          <w:tcPr>
            <w:tcW w:w="2831" w:type="dxa"/>
            <w:tcBorders>
              <w:top w:val="nil"/>
              <w:left w:val="nil"/>
              <w:right w:val="nil"/>
            </w:tcBorders>
            <w:shd w:val="clear" w:color="auto" w:fill="auto"/>
          </w:tcPr>
          <w:p w:rsidR="00025D54" w:rsidRPr="008969F8" w:rsidRDefault="00025D54" w:rsidP="000D617B">
            <w:pPr>
              <w:jc w:val="center"/>
              <w:rPr>
                <w:b/>
                <w:sz w:val="18"/>
                <w:szCs w:val="18"/>
              </w:rPr>
            </w:pPr>
          </w:p>
        </w:tc>
      </w:tr>
      <w:tr w:rsidR="00955646" w:rsidRPr="008969F8" w:rsidTr="00955646">
        <w:tc>
          <w:tcPr>
            <w:tcW w:w="1496" w:type="dxa"/>
            <w:tcBorders>
              <w:left w:val="nil"/>
              <w:right w:val="nil"/>
            </w:tcBorders>
            <w:shd w:val="clear" w:color="auto" w:fill="auto"/>
          </w:tcPr>
          <w:p w:rsidR="00025D54" w:rsidRPr="008969F8" w:rsidRDefault="00955646" w:rsidP="009B7CB0">
            <w:pPr>
              <w:jc w:val="left"/>
              <w:rPr>
                <w:b/>
                <w:sz w:val="18"/>
                <w:szCs w:val="18"/>
              </w:rPr>
            </w:pPr>
            <w:r w:rsidRPr="008969F8">
              <w:rPr>
                <w:b/>
                <w:sz w:val="18"/>
                <w:szCs w:val="18"/>
              </w:rPr>
              <w:t>Task Name</w:t>
            </w:r>
          </w:p>
        </w:tc>
        <w:tc>
          <w:tcPr>
            <w:tcW w:w="4699" w:type="dxa"/>
            <w:tcBorders>
              <w:left w:val="nil"/>
              <w:right w:val="nil"/>
            </w:tcBorders>
            <w:shd w:val="clear" w:color="auto" w:fill="auto"/>
          </w:tcPr>
          <w:p w:rsidR="00955646" w:rsidRDefault="00955646" w:rsidP="000D617B">
            <w:pPr>
              <w:jc w:val="center"/>
              <w:rPr>
                <w:b/>
                <w:sz w:val="18"/>
                <w:szCs w:val="18"/>
              </w:rPr>
            </w:pPr>
            <w:r w:rsidRPr="008969F8">
              <w:rPr>
                <w:b/>
                <w:sz w:val="18"/>
                <w:szCs w:val="18"/>
              </w:rPr>
              <w:t>Manipulations</w:t>
            </w:r>
          </w:p>
          <w:p w:rsidR="00025D54" w:rsidRPr="008969F8" w:rsidRDefault="00025D54" w:rsidP="000D617B">
            <w:pPr>
              <w:jc w:val="center"/>
              <w:rPr>
                <w:b/>
                <w:sz w:val="18"/>
                <w:szCs w:val="18"/>
              </w:rPr>
            </w:pPr>
          </w:p>
        </w:tc>
        <w:tc>
          <w:tcPr>
            <w:tcW w:w="2831" w:type="dxa"/>
            <w:tcBorders>
              <w:left w:val="nil"/>
              <w:right w:val="nil"/>
            </w:tcBorders>
            <w:shd w:val="clear" w:color="auto" w:fill="auto"/>
          </w:tcPr>
          <w:p w:rsidR="00955646" w:rsidRPr="008969F8" w:rsidRDefault="00955646" w:rsidP="000D617B">
            <w:pPr>
              <w:jc w:val="center"/>
              <w:rPr>
                <w:b/>
                <w:sz w:val="18"/>
                <w:szCs w:val="18"/>
              </w:rPr>
            </w:pPr>
            <w:r w:rsidRPr="008969F8">
              <w:rPr>
                <w:b/>
                <w:sz w:val="18"/>
                <w:szCs w:val="18"/>
              </w:rPr>
              <w:t>Main dependent variable(s)</w:t>
            </w:r>
          </w:p>
        </w:tc>
      </w:tr>
      <w:tr w:rsidR="00955646" w:rsidRPr="008969F8" w:rsidTr="00955646">
        <w:tc>
          <w:tcPr>
            <w:tcW w:w="1496" w:type="dxa"/>
            <w:tcBorders>
              <w:left w:val="nil"/>
              <w:right w:val="nil"/>
            </w:tcBorders>
            <w:shd w:val="clear" w:color="auto" w:fill="auto"/>
          </w:tcPr>
          <w:p w:rsidR="00955646" w:rsidRPr="008969F8" w:rsidRDefault="00955646" w:rsidP="009B7CB0">
            <w:pPr>
              <w:jc w:val="left"/>
              <w:rPr>
                <w:b/>
                <w:sz w:val="18"/>
                <w:szCs w:val="18"/>
              </w:rPr>
            </w:pPr>
            <w:r w:rsidRPr="008969F8">
              <w:rPr>
                <w:b/>
                <w:sz w:val="18"/>
                <w:szCs w:val="18"/>
              </w:rPr>
              <w:t xml:space="preserve">Stop Signal Task </w:t>
            </w:r>
          </w:p>
        </w:tc>
        <w:tc>
          <w:tcPr>
            <w:tcW w:w="4699" w:type="dxa"/>
            <w:tcBorders>
              <w:left w:val="nil"/>
              <w:right w:val="nil"/>
            </w:tcBorders>
            <w:shd w:val="clear" w:color="auto" w:fill="auto"/>
          </w:tcPr>
          <w:p w:rsidR="00955646" w:rsidRPr="008969F8" w:rsidRDefault="00955646" w:rsidP="000D617B">
            <w:pPr>
              <w:rPr>
                <w:sz w:val="18"/>
                <w:szCs w:val="18"/>
              </w:rPr>
            </w:pPr>
            <w:r w:rsidRPr="008969F8">
              <w:rPr>
                <w:sz w:val="18"/>
                <w:szCs w:val="18"/>
              </w:rPr>
              <w:t xml:space="preserve">The SST consists of GO and STOP trials. During the go-trials, the letter O or the letter X is presented for 1000 </w:t>
            </w:r>
            <w:proofErr w:type="spellStart"/>
            <w:r w:rsidRPr="008969F8">
              <w:rPr>
                <w:sz w:val="18"/>
                <w:szCs w:val="18"/>
              </w:rPr>
              <w:t>ms</w:t>
            </w:r>
            <w:proofErr w:type="spellEnd"/>
            <w:r w:rsidRPr="008969F8">
              <w:rPr>
                <w:sz w:val="18"/>
                <w:szCs w:val="18"/>
              </w:rPr>
              <w:t xml:space="preserve"> on the centre of a computer screen, preceded by a 500 </w:t>
            </w:r>
            <w:proofErr w:type="spellStart"/>
            <w:r w:rsidRPr="008969F8">
              <w:rPr>
                <w:sz w:val="18"/>
                <w:szCs w:val="18"/>
              </w:rPr>
              <w:t>ms</w:t>
            </w:r>
            <w:proofErr w:type="spellEnd"/>
            <w:r w:rsidRPr="008969F8">
              <w:rPr>
                <w:sz w:val="18"/>
                <w:szCs w:val="18"/>
              </w:rPr>
              <w:t xml:space="preserve"> ﬁxation point, also in the centre of the screen. The participant learns to press the button on the right side with the right hand when the X is presented and the button on the left side and with the left hand when the O is presented. The instruction during this choice reaction time task is to press the button as fast as possible. A crucial element of the task is that this learned response has to be inhibited during stop trials. During stop trials a stop signal, a computer-produced 100 </w:t>
            </w:r>
            <w:proofErr w:type="spellStart"/>
            <w:r w:rsidRPr="008969F8">
              <w:rPr>
                <w:sz w:val="18"/>
                <w:szCs w:val="18"/>
              </w:rPr>
              <w:t>ms</w:t>
            </w:r>
            <w:proofErr w:type="spellEnd"/>
            <w:r w:rsidRPr="008969F8">
              <w:rPr>
                <w:sz w:val="18"/>
                <w:szCs w:val="18"/>
              </w:rPr>
              <w:t xml:space="preserve"> 1000 Hz tone, is presented. The participant is instructed not to respond when she hears the tone. Between trials, the screen is blank for 1000 </w:t>
            </w:r>
            <w:proofErr w:type="spellStart"/>
            <w:r w:rsidRPr="008969F8">
              <w:rPr>
                <w:sz w:val="18"/>
                <w:szCs w:val="18"/>
              </w:rPr>
              <w:t>ms.</w:t>
            </w:r>
            <w:proofErr w:type="spellEnd"/>
            <w:r w:rsidRPr="008969F8">
              <w:rPr>
                <w:sz w:val="18"/>
                <w:szCs w:val="18"/>
              </w:rPr>
              <w:t xml:space="preserve"> Initially, the delay between the go signal (X or O) and the stop signal is 250 </w:t>
            </w:r>
            <w:proofErr w:type="spellStart"/>
            <w:r w:rsidRPr="008969F8">
              <w:rPr>
                <w:sz w:val="18"/>
                <w:szCs w:val="18"/>
              </w:rPr>
              <w:t>ms.</w:t>
            </w:r>
            <w:proofErr w:type="spellEnd"/>
            <w:r w:rsidRPr="008969F8">
              <w:rPr>
                <w:sz w:val="18"/>
                <w:szCs w:val="18"/>
              </w:rPr>
              <w:t xml:space="preserve"> Depending on the responding of the participant, a tracking procedure adapts the go–stop delay dynamically; if the participant succeeds in inhibiting the response, the go–stop delay is increased by 50 </w:t>
            </w:r>
            <w:proofErr w:type="spellStart"/>
            <w:r w:rsidRPr="008969F8">
              <w:rPr>
                <w:sz w:val="18"/>
                <w:szCs w:val="18"/>
              </w:rPr>
              <w:t>ms</w:t>
            </w:r>
            <w:proofErr w:type="spellEnd"/>
            <w:r w:rsidRPr="008969F8">
              <w:rPr>
                <w:sz w:val="18"/>
                <w:szCs w:val="18"/>
              </w:rPr>
              <w:t xml:space="preserve">, thereby making it more difﬁcult to inhibit the next trial. If the participant fails to inhibit the response, the go–stop delay is decreased by 50 </w:t>
            </w:r>
            <w:proofErr w:type="spellStart"/>
            <w:r w:rsidRPr="008969F8">
              <w:rPr>
                <w:sz w:val="18"/>
                <w:szCs w:val="18"/>
              </w:rPr>
              <w:t>ms</w:t>
            </w:r>
            <w:proofErr w:type="spellEnd"/>
            <w:r w:rsidRPr="008969F8">
              <w:rPr>
                <w:sz w:val="18"/>
                <w:szCs w:val="18"/>
              </w:rPr>
              <w:t>, thereby making it easier to inhibit the next trial. The SST is designed to enable participants to inhibit 50% of the stop trials.</w:t>
            </w:r>
          </w:p>
        </w:tc>
        <w:tc>
          <w:tcPr>
            <w:tcW w:w="2831" w:type="dxa"/>
            <w:tcBorders>
              <w:left w:val="nil"/>
              <w:right w:val="nil"/>
            </w:tcBorders>
            <w:shd w:val="clear" w:color="auto" w:fill="auto"/>
          </w:tcPr>
          <w:p w:rsidR="00955646" w:rsidRPr="008969F8" w:rsidRDefault="00955646" w:rsidP="006D6C4E">
            <w:r w:rsidRPr="008969F8">
              <w:rPr>
                <w:sz w:val="18"/>
                <w:szCs w:val="18"/>
              </w:rPr>
              <w:t>The stop-signal reaction time (SSRT), which is the estimated latency of stopping (Logan &amp; Cowan, 1984). Longer SSRTs usually mean poorer inhibitory control. Invalid reactions can also be assessed.</w:t>
            </w:r>
            <w:r w:rsidRPr="008969F8">
              <w:t xml:space="preserve"> </w:t>
            </w:r>
          </w:p>
        </w:tc>
      </w:tr>
    </w:tbl>
    <w:p w:rsidR="006D46C6" w:rsidRDefault="006D46C6"/>
    <w:p w:rsidR="007304F3" w:rsidRDefault="007304F3">
      <w:pPr>
        <w:spacing w:before="0" w:after="160" w:line="259" w:lineRule="auto"/>
        <w:contextualSpacing w:val="0"/>
        <w:jc w:val="left"/>
      </w:pPr>
      <w:r>
        <w:br w:type="page"/>
      </w:r>
    </w:p>
    <w:p w:rsidR="007304F3" w:rsidRDefault="007304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4699"/>
        <w:gridCol w:w="2831"/>
      </w:tblGrid>
      <w:tr w:rsidR="007304F3" w:rsidRPr="008969F8" w:rsidTr="00512B31">
        <w:tc>
          <w:tcPr>
            <w:tcW w:w="1496" w:type="dxa"/>
            <w:tcBorders>
              <w:left w:val="nil"/>
              <w:right w:val="nil"/>
            </w:tcBorders>
            <w:shd w:val="clear" w:color="auto" w:fill="auto"/>
          </w:tcPr>
          <w:p w:rsidR="007304F3" w:rsidRPr="008969F8" w:rsidRDefault="007304F3" w:rsidP="00512B31">
            <w:pPr>
              <w:jc w:val="left"/>
              <w:rPr>
                <w:b/>
                <w:sz w:val="18"/>
                <w:szCs w:val="18"/>
              </w:rPr>
            </w:pPr>
            <w:r w:rsidRPr="008969F8">
              <w:rPr>
                <w:b/>
                <w:sz w:val="18"/>
                <w:szCs w:val="18"/>
              </w:rPr>
              <w:t>Go-No go task</w:t>
            </w:r>
          </w:p>
        </w:tc>
        <w:tc>
          <w:tcPr>
            <w:tcW w:w="4699" w:type="dxa"/>
            <w:tcBorders>
              <w:left w:val="nil"/>
              <w:right w:val="nil"/>
            </w:tcBorders>
            <w:shd w:val="clear" w:color="auto" w:fill="auto"/>
          </w:tcPr>
          <w:p w:rsidR="007304F3" w:rsidRPr="008969F8" w:rsidRDefault="007304F3" w:rsidP="00512B31">
            <w:pPr>
              <w:autoSpaceDE w:val="0"/>
              <w:autoSpaceDN w:val="0"/>
              <w:adjustRightInd w:val="0"/>
              <w:snapToGrid w:val="0"/>
              <w:rPr>
                <w:sz w:val="18"/>
                <w:szCs w:val="18"/>
              </w:rPr>
            </w:pPr>
            <w:r w:rsidRPr="008969F8">
              <w:rPr>
                <w:sz w:val="18"/>
                <w:szCs w:val="18"/>
              </w:rPr>
              <w:t>Participants are instructed to respond as quickly as possible to go stimuli (e.g. digit) but then to refrain from responding when a no-go stimulus is presented (e.g. letters). Go events usually occur with higher frequency than no-go events.</w:t>
            </w:r>
          </w:p>
        </w:tc>
        <w:tc>
          <w:tcPr>
            <w:tcW w:w="2831" w:type="dxa"/>
            <w:tcBorders>
              <w:left w:val="nil"/>
              <w:right w:val="nil"/>
            </w:tcBorders>
            <w:shd w:val="clear" w:color="auto" w:fill="auto"/>
          </w:tcPr>
          <w:p w:rsidR="007304F3" w:rsidRPr="008969F8" w:rsidRDefault="007304F3" w:rsidP="00512B31">
            <w:r w:rsidRPr="008969F8">
              <w:rPr>
                <w:sz w:val="18"/>
                <w:szCs w:val="18"/>
              </w:rPr>
              <w:t>Responses to distractors (commission errors, i.e., failing to respond to target words).</w:t>
            </w:r>
          </w:p>
        </w:tc>
      </w:tr>
      <w:tr w:rsidR="007304F3" w:rsidRPr="008969F8" w:rsidTr="00512B31">
        <w:tc>
          <w:tcPr>
            <w:tcW w:w="1496" w:type="dxa"/>
            <w:tcBorders>
              <w:left w:val="nil"/>
              <w:right w:val="nil"/>
            </w:tcBorders>
            <w:shd w:val="clear" w:color="auto" w:fill="auto"/>
          </w:tcPr>
          <w:p w:rsidR="007304F3" w:rsidRPr="008969F8" w:rsidRDefault="007304F3" w:rsidP="00512B31">
            <w:pPr>
              <w:jc w:val="left"/>
              <w:rPr>
                <w:b/>
                <w:sz w:val="18"/>
                <w:szCs w:val="18"/>
              </w:rPr>
            </w:pPr>
            <w:r w:rsidRPr="008969F8">
              <w:rPr>
                <w:b/>
                <w:sz w:val="18"/>
                <w:szCs w:val="18"/>
              </w:rPr>
              <w:t>Implicit Association Test (Greenwald, McGhee &amp; Schwartz, 1998)</w:t>
            </w:r>
          </w:p>
        </w:tc>
        <w:tc>
          <w:tcPr>
            <w:tcW w:w="4699" w:type="dxa"/>
            <w:tcBorders>
              <w:left w:val="nil"/>
              <w:right w:val="nil"/>
            </w:tcBorders>
            <w:shd w:val="clear" w:color="auto" w:fill="auto"/>
          </w:tcPr>
          <w:p w:rsidR="007304F3" w:rsidRPr="008969F8" w:rsidRDefault="007304F3" w:rsidP="00512B31">
            <w:pPr>
              <w:rPr>
                <w:sz w:val="18"/>
                <w:szCs w:val="18"/>
              </w:rPr>
            </w:pPr>
            <w:r w:rsidRPr="008969F8">
              <w:rPr>
                <w:sz w:val="18"/>
                <w:szCs w:val="18"/>
              </w:rPr>
              <w:t xml:space="preserve">The IAT measures the strength of evaluative associations towards different concepts.  In the study of </w:t>
            </w:r>
            <w:proofErr w:type="spellStart"/>
            <w:r w:rsidRPr="008969F8">
              <w:rPr>
                <w:sz w:val="18"/>
                <w:szCs w:val="18"/>
              </w:rPr>
              <w:t>Nederkoorn</w:t>
            </w:r>
            <w:proofErr w:type="spellEnd"/>
            <w:r w:rsidRPr="008969F8">
              <w:rPr>
                <w:sz w:val="18"/>
                <w:szCs w:val="18"/>
              </w:rPr>
              <w:t xml:space="preserve"> and colleagues (2010), the target category was food, and the attribute/ evaluative categories were “I like” and “I don’t like.” Evaluative stimuli were six positive and six negative pictures from the IAPS. The target stimuli were six food pictures, depicting a bag of crisps, chocolate, chocolate chip cookie, French fries, a hamburger and a pizza. The participant first completed a practice block in which only negative and positive pictures had to be categorized. In the next block, the first combined block (72 trials in a fixed random order) the participant had to respond to the positive category and food with one response key and to the negative category with the other response key. This assignment was changed in the second combined block such that the negative category and food shared a response key.</w:t>
            </w:r>
          </w:p>
        </w:tc>
        <w:tc>
          <w:tcPr>
            <w:tcW w:w="2831" w:type="dxa"/>
            <w:tcBorders>
              <w:left w:val="nil"/>
              <w:right w:val="nil"/>
            </w:tcBorders>
            <w:shd w:val="clear" w:color="auto" w:fill="auto"/>
          </w:tcPr>
          <w:p w:rsidR="007304F3" w:rsidRPr="008969F8" w:rsidRDefault="007304F3" w:rsidP="00512B31">
            <w:r w:rsidRPr="008969F8">
              <w:rPr>
                <w:sz w:val="18"/>
                <w:szCs w:val="18"/>
              </w:rPr>
              <w:t>Response-latency measures, which involve the measurement of the time delay that occurs before a response (Average median reaction time).</w:t>
            </w:r>
          </w:p>
        </w:tc>
      </w:tr>
      <w:tr w:rsidR="007304F3" w:rsidRPr="008969F8" w:rsidTr="00512B31">
        <w:tc>
          <w:tcPr>
            <w:tcW w:w="1496" w:type="dxa"/>
            <w:tcBorders>
              <w:left w:val="nil"/>
              <w:right w:val="nil"/>
            </w:tcBorders>
            <w:shd w:val="clear" w:color="auto" w:fill="auto"/>
          </w:tcPr>
          <w:p w:rsidR="007304F3" w:rsidRPr="008969F8" w:rsidRDefault="007304F3" w:rsidP="00512B31">
            <w:pPr>
              <w:jc w:val="left"/>
              <w:rPr>
                <w:b/>
                <w:sz w:val="18"/>
                <w:szCs w:val="18"/>
              </w:rPr>
            </w:pPr>
            <w:proofErr w:type="spellStart"/>
            <w:r w:rsidRPr="008969F8">
              <w:rPr>
                <w:b/>
                <w:sz w:val="18"/>
                <w:szCs w:val="18"/>
              </w:rPr>
              <w:t>Stroop</w:t>
            </w:r>
            <w:proofErr w:type="spellEnd"/>
            <w:r w:rsidRPr="008969F8">
              <w:rPr>
                <w:b/>
                <w:sz w:val="18"/>
                <w:szCs w:val="18"/>
              </w:rPr>
              <w:t xml:space="preserve"> Test (Golden, 1994)</w:t>
            </w:r>
          </w:p>
          <w:p w:rsidR="007304F3" w:rsidRPr="008969F8" w:rsidRDefault="007304F3" w:rsidP="00512B31">
            <w:pPr>
              <w:jc w:val="left"/>
              <w:rPr>
                <w:b/>
                <w:sz w:val="18"/>
                <w:szCs w:val="18"/>
              </w:rPr>
            </w:pPr>
          </w:p>
        </w:tc>
        <w:tc>
          <w:tcPr>
            <w:tcW w:w="4699" w:type="dxa"/>
            <w:tcBorders>
              <w:left w:val="nil"/>
              <w:right w:val="nil"/>
            </w:tcBorders>
            <w:shd w:val="clear" w:color="auto" w:fill="auto"/>
          </w:tcPr>
          <w:p w:rsidR="007304F3" w:rsidRPr="008969F8" w:rsidRDefault="007304F3" w:rsidP="00512B31">
            <w:pPr>
              <w:rPr>
                <w:sz w:val="18"/>
                <w:szCs w:val="18"/>
              </w:rPr>
            </w:pPr>
            <w:r w:rsidRPr="008969F8">
              <w:rPr>
                <w:sz w:val="18"/>
                <w:szCs w:val="18"/>
              </w:rPr>
              <w:t xml:space="preserve">This test consists of three forms, each containing 100 elements. The first form is made up of the words “RED”, “GREEN,” and “BLUE” ordered randomly and printed in black ink. In this condition, participants are asked to read aloud the words written. The second form consists of strings of “XXXX” printed in red, blue, or green ink. In this condition, participants are asked to name the </w:t>
            </w:r>
            <w:proofErr w:type="spellStart"/>
            <w:r w:rsidRPr="008969F8">
              <w:rPr>
                <w:sz w:val="18"/>
                <w:szCs w:val="18"/>
              </w:rPr>
              <w:t>color</w:t>
            </w:r>
            <w:proofErr w:type="spellEnd"/>
            <w:r w:rsidRPr="008969F8">
              <w:rPr>
                <w:sz w:val="18"/>
                <w:szCs w:val="18"/>
              </w:rPr>
              <w:t xml:space="preserve">. The third form introduces the condition of interference, and it consists of the words from the first sheet printed in the </w:t>
            </w:r>
            <w:proofErr w:type="spellStart"/>
            <w:r w:rsidRPr="008969F8">
              <w:rPr>
                <w:sz w:val="18"/>
                <w:szCs w:val="18"/>
              </w:rPr>
              <w:t>colors</w:t>
            </w:r>
            <w:proofErr w:type="spellEnd"/>
            <w:r w:rsidRPr="008969F8">
              <w:rPr>
                <w:sz w:val="18"/>
                <w:szCs w:val="18"/>
              </w:rPr>
              <w:t xml:space="preserve"> of the second. In this condition, participants have to name the </w:t>
            </w:r>
            <w:proofErr w:type="spellStart"/>
            <w:r w:rsidRPr="008969F8">
              <w:rPr>
                <w:sz w:val="18"/>
                <w:szCs w:val="18"/>
              </w:rPr>
              <w:t>color</w:t>
            </w:r>
            <w:proofErr w:type="spellEnd"/>
            <w:r w:rsidRPr="008969F8">
              <w:rPr>
                <w:sz w:val="18"/>
                <w:szCs w:val="18"/>
              </w:rPr>
              <w:t xml:space="preserve"> of the ink and ignore the word.</w:t>
            </w:r>
          </w:p>
        </w:tc>
        <w:tc>
          <w:tcPr>
            <w:tcW w:w="2831" w:type="dxa"/>
            <w:tcBorders>
              <w:left w:val="nil"/>
              <w:right w:val="nil"/>
            </w:tcBorders>
            <w:shd w:val="clear" w:color="auto" w:fill="auto"/>
          </w:tcPr>
          <w:p w:rsidR="007304F3" w:rsidRPr="008969F8" w:rsidRDefault="007304F3" w:rsidP="00512B31">
            <w:pPr>
              <w:rPr>
                <w:sz w:val="18"/>
                <w:szCs w:val="18"/>
              </w:rPr>
            </w:pPr>
            <w:r w:rsidRPr="008969F8">
              <w:rPr>
                <w:sz w:val="18"/>
                <w:szCs w:val="18"/>
              </w:rPr>
              <w:t>Verbal interference</w:t>
            </w:r>
          </w:p>
          <w:p w:rsidR="007304F3" w:rsidRPr="008969F8" w:rsidRDefault="007304F3" w:rsidP="00512B31">
            <w:r w:rsidRPr="008969F8">
              <w:rPr>
                <w:sz w:val="18"/>
                <w:szCs w:val="18"/>
              </w:rPr>
              <w:t>Incongruent-Neutral RT</w:t>
            </w:r>
          </w:p>
        </w:tc>
      </w:tr>
    </w:tbl>
    <w:p w:rsidR="007304F3" w:rsidRDefault="007304F3"/>
    <w:sectPr w:rsidR="007304F3" w:rsidSect="009412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646"/>
    <w:rsid w:val="0000162B"/>
    <w:rsid w:val="00007CB4"/>
    <w:rsid w:val="000119CD"/>
    <w:rsid w:val="0001230F"/>
    <w:rsid w:val="000145B0"/>
    <w:rsid w:val="00015DFB"/>
    <w:rsid w:val="000167BF"/>
    <w:rsid w:val="0001704D"/>
    <w:rsid w:val="000170D9"/>
    <w:rsid w:val="00017C10"/>
    <w:rsid w:val="00020D09"/>
    <w:rsid w:val="00024B8A"/>
    <w:rsid w:val="00025D54"/>
    <w:rsid w:val="00026612"/>
    <w:rsid w:val="00030CE9"/>
    <w:rsid w:val="0003170D"/>
    <w:rsid w:val="00032048"/>
    <w:rsid w:val="00032284"/>
    <w:rsid w:val="00033DDE"/>
    <w:rsid w:val="00036188"/>
    <w:rsid w:val="00037659"/>
    <w:rsid w:val="000432B4"/>
    <w:rsid w:val="00043E59"/>
    <w:rsid w:val="00050289"/>
    <w:rsid w:val="000502CC"/>
    <w:rsid w:val="00053146"/>
    <w:rsid w:val="00053536"/>
    <w:rsid w:val="000573D3"/>
    <w:rsid w:val="0006696F"/>
    <w:rsid w:val="00070270"/>
    <w:rsid w:val="00075B29"/>
    <w:rsid w:val="00075F31"/>
    <w:rsid w:val="000767F0"/>
    <w:rsid w:val="000773E4"/>
    <w:rsid w:val="000831A8"/>
    <w:rsid w:val="0008361C"/>
    <w:rsid w:val="00087D27"/>
    <w:rsid w:val="00090C20"/>
    <w:rsid w:val="000A285F"/>
    <w:rsid w:val="000A360B"/>
    <w:rsid w:val="000A6912"/>
    <w:rsid w:val="000B2AC2"/>
    <w:rsid w:val="000B2E3C"/>
    <w:rsid w:val="000B44EC"/>
    <w:rsid w:val="000B4518"/>
    <w:rsid w:val="000B6A69"/>
    <w:rsid w:val="000C0C6E"/>
    <w:rsid w:val="000C3AAF"/>
    <w:rsid w:val="000C53BF"/>
    <w:rsid w:val="000C58F6"/>
    <w:rsid w:val="000D0D8B"/>
    <w:rsid w:val="000D15B8"/>
    <w:rsid w:val="000D2499"/>
    <w:rsid w:val="000D31BD"/>
    <w:rsid w:val="000D3B80"/>
    <w:rsid w:val="000D3BAD"/>
    <w:rsid w:val="000D4442"/>
    <w:rsid w:val="000D5B59"/>
    <w:rsid w:val="000E13BC"/>
    <w:rsid w:val="000E24C2"/>
    <w:rsid w:val="000E3705"/>
    <w:rsid w:val="000E3FBA"/>
    <w:rsid w:val="000E5E98"/>
    <w:rsid w:val="000E79C7"/>
    <w:rsid w:val="000F0548"/>
    <w:rsid w:val="000F4D34"/>
    <w:rsid w:val="000F51F7"/>
    <w:rsid w:val="000F5D25"/>
    <w:rsid w:val="00103DBB"/>
    <w:rsid w:val="00107C9A"/>
    <w:rsid w:val="00110D83"/>
    <w:rsid w:val="00111321"/>
    <w:rsid w:val="00111B35"/>
    <w:rsid w:val="0011291B"/>
    <w:rsid w:val="00113A75"/>
    <w:rsid w:val="001260A9"/>
    <w:rsid w:val="0013467F"/>
    <w:rsid w:val="001371B8"/>
    <w:rsid w:val="0014129F"/>
    <w:rsid w:val="00142A34"/>
    <w:rsid w:val="00142ED8"/>
    <w:rsid w:val="0014513E"/>
    <w:rsid w:val="00145412"/>
    <w:rsid w:val="00146338"/>
    <w:rsid w:val="00146E1A"/>
    <w:rsid w:val="00147FC3"/>
    <w:rsid w:val="001514A2"/>
    <w:rsid w:val="00152320"/>
    <w:rsid w:val="0015689E"/>
    <w:rsid w:val="00157A96"/>
    <w:rsid w:val="0016120B"/>
    <w:rsid w:val="00162CA1"/>
    <w:rsid w:val="00163D4A"/>
    <w:rsid w:val="00165819"/>
    <w:rsid w:val="00171983"/>
    <w:rsid w:val="00172021"/>
    <w:rsid w:val="0017273E"/>
    <w:rsid w:val="00175FC7"/>
    <w:rsid w:val="00177D4B"/>
    <w:rsid w:val="00181D2E"/>
    <w:rsid w:val="00181EFE"/>
    <w:rsid w:val="00185B40"/>
    <w:rsid w:val="001973D3"/>
    <w:rsid w:val="001A43D6"/>
    <w:rsid w:val="001B02B0"/>
    <w:rsid w:val="001B167D"/>
    <w:rsid w:val="001B2BF8"/>
    <w:rsid w:val="001B2F41"/>
    <w:rsid w:val="001B4B91"/>
    <w:rsid w:val="001B6FEC"/>
    <w:rsid w:val="001B78A1"/>
    <w:rsid w:val="001C067D"/>
    <w:rsid w:val="001C0FB3"/>
    <w:rsid w:val="001C3771"/>
    <w:rsid w:val="001C4DBE"/>
    <w:rsid w:val="001C7BDA"/>
    <w:rsid w:val="001D0E19"/>
    <w:rsid w:val="001D2F10"/>
    <w:rsid w:val="001D6C31"/>
    <w:rsid w:val="001E2F1F"/>
    <w:rsid w:val="001E3E10"/>
    <w:rsid w:val="001E573D"/>
    <w:rsid w:val="001E58C9"/>
    <w:rsid w:val="001F7DF1"/>
    <w:rsid w:val="0020141E"/>
    <w:rsid w:val="0020151E"/>
    <w:rsid w:val="00201722"/>
    <w:rsid w:val="00204B26"/>
    <w:rsid w:val="00206DC8"/>
    <w:rsid w:val="00207B15"/>
    <w:rsid w:val="002120C9"/>
    <w:rsid w:val="00214D02"/>
    <w:rsid w:val="00217E79"/>
    <w:rsid w:val="00220213"/>
    <w:rsid w:val="002206B4"/>
    <w:rsid w:val="00221B50"/>
    <w:rsid w:val="00222258"/>
    <w:rsid w:val="00223259"/>
    <w:rsid w:val="00225D43"/>
    <w:rsid w:val="0023279C"/>
    <w:rsid w:val="00234277"/>
    <w:rsid w:val="00236277"/>
    <w:rsid w:val="002376B5"/>
    <w:rsid w:val="00237AFE"/>
    <w:rsid w:val="002418E6"/>
    <w:rsid w:val="00242693"/>
    <w:rsid w:val="00242FF7"/>
    <w:rsid w:val="002431C8"/>
    <w:rsid w:val="00243B50"/>
    <w:rsid w:val="00245A92"/>
    <w:rsid w:val="00246A40"/>
    <w:rsid w:val="00247EE7"/>
    <w:rsid w:val="00251B7E"/>
    <w:rsid w:val="00252533"/>
    <w:rsid w:val="00252777"/>
    <w:rsid w:val="00255377"/>
    <w:rsid w:val="00255F95"/>
    <w:rsid w:val="00256CFF"/>
    <w:rsid w:val="002622A0"/>
    <w:rsid w:val="00265444"/>
    <w:rsid w:val="00265798"/>
    <w:rsid w:val="002660FD"/>
    <w:rsid w:val="00270958"/>
    <w:rsid w:val="00270B60"/>
    <w:rsid w:val="0027404D"/>
    <w:rsid w:val="0027507B"/>
    <w:rsid w:val="00280B6D"/>
    <w:rsid w:val="00280DAC"/>
    <w:rsid w:val="00294DE7"/>
    <w:rsid w:val="00297E01"/>
    <w:rsid w:val="002A0791"/>
    <w:rsid w:val="002A495E"/>
    <w:rsid w:val="002A5BE5"/>
    <w:rsid w:val="002A6B16"/>
    <w:rsid w:val="002B2F2F"/>
    <w:rsid w:val="002B413A"/>
    <w:rsid w:val="002C01B8"/>
    <w:rsid w:val="002C0F81"/>
    <w:rsid w:val="002C3CD9"/>
    <w:rsid w:val="002C551F"/>
    <w:rsid w:val="002C6A7A"/>
    <w:rsid w:val="002C6F63"/>
    <w:rsid w:val="002D21AD"/>
    <w:rsid w:val="002D3CE4"/>
    <w:rsid w:val="002D4E1F"/>
    <w:rsid w:val="002D5A4D"/>
    <w:rsid w:val="002D61F8"/>
    <w:rsid w:val="002E0330"/>
    <w:rsid w:val="002E0C4E"/>
    <w:rsid w:val="002E26C7"/>
    <w:rsid w:val="002E3A1C"/>
    <w:rsid w:val="002E3BE1"/>
    <w:rsid w:val="002E4628"/>
    <w:rsid w:val="002F098F"/>
    <w:rsid w:val="002F1DBC"/>
    <w:rsid w:val="002F1FC4"/>
    <w:rsid w:val="002F28C6"/>
    <w:rsid w:val="002F3487"/>
    <w:rsid w:val="002F6160"/>
    <w:rsid w:val="002F650C"/>
    <w:rsid w:val="0030063A"/>
    <w:rsid w:val="0030549A"/>
    <w:rsid w:val="003126F2"/>
    <w:rsid w:val="003140EB"/>
    <w:rsid w:val="003141E3"/>
    <w:rsid w:val="00314355"/>
    <w:rsid w:val="00320580"/>
    <w:rsid w:val="00320781"/>
    <w:rsid w:val="0032112B"/>
    <w:rsid w:val="00322ACE"/>
    <w:rsid w:val="00323176"/>
    <w:rsid w:val="00331A6B"/>
    <w:rsid w:val="00336A74"/>
    <w:rsid w:val="0034234A"/>
    <w:rsid w:val="00342D87"/>
    <w:rsid w:val="003433FD"/>
    <w:rsid w:val="0034399E"/>
    <w:rsid w:val="00345944"/>
    <w:rsid w:val="00347F7C"/>
    <w:rsid w:val="00353567"/>
    <w:rsid w:val="00354BEF"/>
    <w:rsid w:val="00354D61"/>
    <w:rsid w:val="0035597B"/>
    <w:rsid w:val="00355A1C"/>
    <w:rsid w:val="00356E2D"/>
    <w:rsid w:val="00357F69"/>
    <w:rsid w:val="00361C2A"/>
    <w:rsid w:val="00362DAE"/>
    <w:rsid w:val="003641A1"/>
    <w:rsid w:val="003647F9"/>
    <w:rsid w:val="003667CC"/>
    <w:rsid w:val="00370A1F"/>
    <w:rsid w:val="0037135F"/>
    <w:rsid w:val="00381F46"/>
    <w:rsid w:val="00383274"/>
    <w:rsid w:val="0038462A"/>
    <w:rsid w:val="003855DF"/>
    <w:rsid w:val="00386AAD"/>
    <w:rsid w:val="00387A14"/>
    <w:rsid w:val="00391215"/>
    <w:rsid w:val="00395342"/>
    <w:rsid w:val="00395DB9"/>
    <w:rsid w:val="00396A61"/>
    <w:rsid w:val="00396EE8"/>
    <w:rsid w:val="003A68D9"/>
    <w:rsid w:val="003B04EE"/>
    <w:rsid w:val="003B09AA"/>
    <w:rsid w:val="003B13DD"/>
    <w:rsid w:val="003B201C"/>
    <w:rsid w:val="003B2A23"/>
    <w:rsid w:val="003B3D61"/>
    <w:rsid w:val="003B63EF"/>
    <w:rsid w:val="003B6B98"/>
    <w:rsid w:val="003C1388"/>
    <w:rsid w:val="003C3C53"/>
    <w:rsid w:val="003C4BF6"/>
    <w:rsid w:val="003C6FCE"/>
    <w:rsid w:val="003D2839"/>
    <w:rsid w:val="003D38CB"/>
    <w:rsid w:val="003E31E0"/>
    <w:rsid w:val="003E3FF6"/>
    <w:rsid w:val="003E4088"/>
    <w:rsid w:val="003E50EB"/>
    <w:rsid w:val="003E5D20"/>
    <w:rsid w:val="003E618F"/>
    <w:rsid w:val="003E68BA"/>
    <w:rsid w:val="003F355C"/>
    <w:rsid w:val="003F69B1"/>
    <w:rsid w:val="00410640"/>
    <w:rsid w:val="00410811"/>
    <w:rsid w:val="00410F01"/>
    <w:rsid w:val="004112C6"/>
    <w:rsid w:val="00412FFE"/>
    <w:rsid w:val="00417607"/>
    <w:rsid w:val="0042465F"/>
    <w:rsid w:val="00426CB2"/>
    <w:rsid w:val="00427B67"/>
    <w:rsid w:val="0043106D"/>
    <w:rsid w:val="00433182"/>
    <w:rsid w:val="0043357B"/>
    <w:rsid w:val="00433B06"/>
    <w:rsid w:val="0043620F"/>
    <w:rsid w:val="00441581"/>
    <w:rsid w:val="004468C9"/>
    <w:rsid w:val="00446F54"/>
    <w:rsid w:val="00447345"/>
    <w:rsid w:val="004500E5"/>
    <w:rsid w:val="004553B4"/>
    <w:rsid w:val="0045589C"/>
    <w:rsid w:val="004563E1"/>
    <w:rsid w:val="00457960"/>
    <w:rsid w:val="00464A03"/>
    <w:rsid w:val="00464F29"/>
    <w:rsid w:val="00470EBA"/>
    <w:rsid w:val="00472EBB"/>
    <w:rsid w:val="0047616D"/>
    <w:rsid w:val="004801A4"/>
    <w:rsid w:val="00482490"/>
    <w:rsid w:val="004830FD"/>
    <w:rsid w:val="0048332C"/>
    <w:rsid w:val="0048364F"/>
    <w:rsid w:val="004850E9"/>
    <w:rsid w:val="00487DDF"/>
    <w:rsid w:val="00491EC0"/>
    <w:rsid w:val="0049275F"/>
    <w:rsid w:val="00494A4A"/>
    <w:rsid w:val="00496951"/>
    <w:rsid w:val="00496A44"/>
    <w:rsid w:val="00497900"/>
    <w:rsid w:val="004A0A0D"/>
    <w:rsid w:val="004A60B5"/>
    <w:rsid w:val="004A6D29"/>
    <w:rsid w:val="004B092B"/>
    <w:rsid w:val="004B752A"/>
    <w:rsid w:val="004C10B4"/>
    <w:rsid w:val="004C2C8B"/>
    <w:rsid w:val="004C6031"/>
    <w:rsid w:val="004C6C26"/>
    <w:rsid w:val="004D005D"/>
    <w:rsid w:val="004D2912"/>
    <w:rsid w:val="004D39F1"/>
    <w:rsid w:val="004D3C17"/>
    <w:rsid w:val="004D5358"/>
    <w:rsid w:val="004D61D7"/>
    <w:rsid w:val="004D71B8"/>
    <w:rsid w:val="004D79D6"/>
    <w:rsid w:val="004E25B0"/>
    <w:rsid w:val="004E7B6B"/>
    <w:rsid w:val="004E7F13"/>
    <w:rsid w:val="004F18BF"/>
    <w:rsid w:val="004F2EC6"/>
    <w:rsid w:val="004F3F7D"/>
    <w:rsid w:val="004F6D8E"/>
    <w:rsid w:val="00503777"/>
    <w:rsid w:val="005040A1"/>
    <w:rsid w:val="00504646"/>
    <w:rsid w:val="00507B18"/>
    <w:rsid w:val="00511634"/>
    <w:rsid w:val="00512255"/>
    <w:rsid w:val="005129F2"/>
    <w:rsid w:val="00512A44"/>
    <w:rsid w:val="00514CA5"/>
    <w:rsid w:val="00515BE1"/>
    <w:rsid w:val="005163E9"/>
    <w:rsid w:val="00517320"/>
    <w:rsid w:val="005229E4"/>
    <w:rsid w:val="00523844"/>
    <w:rsid w:val="00523AFC"/>
    <w:rsid w:val="005243B6"/>
    <w:rsid w:val="0052774B"/>
    <w:rsid w:val="00527EAB"/>
    <w:rsid w:val="005301E2"/>
    <w:rsid w:val="00531B09"/>
    <w:rsid w:val="0053610A"/>
    <w:rsid w:val="00537F33"/>
    <w:rsid w:val="0054150C"/>
    <w:rsid w:val="00541579"/>
    <w:rsid w:val="00543962"/>
    <w:rsid w:val="00547E83"/>
    <w:rsid w:val="00551108"/>
    <w:rsid w:val="00552C50"/>
    <w:rsid w:val="005579CE"/>
    <w:rsid w:val="00560BFF"/>
    <w:rsid w:val="00561726"/>
    <w:rsid w:val="005642BE"/>
    <w:rsid w:val="005664F8"/>
    <w:rsid w:val="0056795F"/>
    <w:rsid w:val="00571117"/>
    <w:rsid w:val="00571861"/>
    <w:rsid w:val="00572ABE"/>
    <w:rsid w:val="00574BF2"/>
    <w:rsid w:val="00574CD2"/>
    <w:rsid w:val="00577827"/>
    <w:rsid w:val="00580886"/>
    <w:rsid w:val="00582757"/>
    <w:rsid w:val="00586425"/>
    <w:rsid w:val="005868AC"/>
    <w:rsid w:val="00587190"/>
    <w:rsid w:val="00590A9D"/>
    <w:rsid w:val="005939B1"/>
    <w:rsid w:val="00593D06"/>
    <w:rsid w:val="0059579C"/>
    <w:rsid w:val="005976F9"/>
    <w:rsid w:val="005A1450"/>
    <w:rsid w:val="005A37A5"/>
    <w:rsid w:val="005A4674"/>
    <w:rsid w:val="005A4837"/>
    <w:rsid w:val="005A4B93"/>
    <w:rsid w:val="005A7015"/>
    <w:rsid w:val="005B1074"/>
    <w:rsid w:val="005B2B87"/>
    <w:rsid w:val="005B3983"/>
    <w:rsid w:val="005B5D82"/>
    <w:rsid w:val="005B636D"/>
    <w:rsid w:val="005C0794"/>
    <w:rsid w:val="005C1452"/>
    <w:rsid w:val="005C3074"/>
    <w:rsid w:val="005C54A1"/>
    <w:rsid w:val="005D0C33"/>
    <w:rsid w:val="005D0C4C"/>
    <w:rsid w:val="005D2EDA"/>
    <w:rsid w:val="005D6012"/>
    <w:rsid w:val="005D68C1"/>
    <w:rsid w:val="005D7461"/>
    <w:rsid w:val="005E08F8"/>
    <w:rsid w:val="005E11EB"/>
    <w:rsid w:val="005E258C"/>
    <w:rsid w:val="005E54FE"/>
    <w:rsid w:val="005E5A34"/>
    <w:rsid w:val="005E75D1"/>
    <w:rsid w:val="005F0F6F"/>
    <w:rsid w:val="005F3112"/>
    <w:rsid w:val="005F4B65"/>
    <w:rsid w:val="005F6579"/>
    <w:rsid w:val="0060151F"/>
    <w:rsid w:val="00601913"/>
    <w:rsid w:val="0060363A"/>
    <w:rsid w:val="006045B4"/>
    <w:rsid w:val="00604B6C"/>
    <w:rsid w:val="00604CEE"/>
    <w:rsid w:val="006053E0"/>
    <w:rsid w:val="006074D5"/>
    <w:rsid w:val="00607892"/>
    <w:rsid w:val="00607BFC"/>
    <w:rsid w:val="00607CE0"/>
    <w:rsid w:val="00610777"/>
    <w:rsid w:val="006159A3"/>
    <w:rsid w:val="006166BF"/>
    <w:rsid w:val="00616F5B"/>
    <w:rsid w:val="00617AE2"/>
    <w:rsid w:val="00620DD0"/>
    <w:rsid w:val="006265B6"/>
    <w:rsid w:val="006278B1"/>
    <w:rsid w:val="00627996"/>
    <w:rsid w:val="006319E3"/>
    <w:rsid w:val="00633139"/>
    <w:rsid w:val="00637335"/>
    <w:rsid w:val="00641618"/>
    <w:rsid w:val="00641A64"/>
    <w:rsid w:val="00643BA0"/>
    <w:rsid w:val="00647076"/>
    <w:rsid w:val="00647173"/>
    <w:rsid w:val="0065171A"/>
    <w:rsid w:val="0065495A"/>
    <w:rsid w:val="00655678"/>
    <w:rsid w:val="00655A76"/>
    <w:rsid w:val="006579BB"/>
    <w:rsid w:val="006610EA"/>
    <w:rsid w:val="00661B13"/>
    <w:rsid w:val="006621FB"/>
    <w:rsid w:val="00664A68"/>
    <w:rsid w:val="00667574"/>
    <w:rsid w:val="0067189A"/>
    <w:rsid w:val="0067198D"/>
    <w:rsid w:val="00673C62"/>
    <w:rsid w:val="00676C7D"/>
    <w:rsid w:val="00676E81"/>
    <w:rsid w:val="0067750E"/>
    <w:rsid w:val="006807FF"/>
    <w:rsid w:val="00680F4A"/>
    <w:rsid w:val="006954EE"/>
    <w:rsid w:val="006A1CE5"/>
    <w:rsid w:val="006A3D6A"/>
    <w:rsid w:val="006A618C"/>
    <w:rsid w:val="006B1A2D"/>
    <w:rsid w:val="006B2076"/>
    <w:rsid w:val="006B20B2"/>
    <w:rsid w:val="006B21C6"/>
    <w:rsid w:val="006B2416"/>
    <w:rsid w:val="006B530C"/>
    <w:rsid w:val="006C03B3"/>
    <w:rsid w:val="006C091B"/>
    <w:rsid w:val="006C15AB"/>
    <w:rsid w:val="006C1924"/>
    <w:rsid w:val="006C1A45"/>
    <w:rsid w:val="006C7568"/>
    <w:rsid w:val="006D1D38"/>
    <w:rsid w:val="006D46C6"/>
    <w:rsid w:val="006D6C4E"/>
    <w:rsid w:val="006E0FCF"/>
    <w:rsid w:val="006E1818"/>
    <w:rsid w:val="006E3EA1"/>
    <w:rsid w:val="006F4B38"/>
    <w:rsid w:val="006F64D3"/>
    <w:rsid w:val="0070308B"/>
    <w:rsid w:val="0070431F"/>
    <w:rsid w:val="0070487C"/>
    <w:rsid w:val="0070683A"/>
    <w:rsid w:val="007068C3"/>
    <w:rsid w:val="007076FE"/>
    <w:rsid w:val="00707D25"/>
    <w:rsid w:val="00707D97"/>
    <w:rsid w:val="007173C2"/>
    <w:rsid w:val="00720B12"/>
    <w:rsid w:val="00720DBF"/>
    <w:rsid w:val="007227AF"/>
    <w:rsid w:val="007304F3"/>
    <w:rsid w:val="007311A3"/>
    <w:rsid w:val="0073270B"/>
    <w:rsid w:val="007333DD"/>
    <w:rsid w:val="00733594"/>
    <w:rsid w:val="00734250"/>
    <w:rsid w:val="00734F5F"/>
    <w:rsid w:val="00736964"/>
    <w:rsid w:val="0074207B"/>
    <w:rsid w:val="00742ED3"/>
    <w:rsid w:val="007447E4"/>
    <w:rsid w:val="00746AE9"/>
    <w:rsid w:val="00747279"/>
    <w:rsid w:val="00750D1A"/>
    <w:rsid w:val="007540FA"/>
    <w:rsid w:val="00755BF8"/>
    <w:rsid w:val="00755E1D"/>
    <w:rsid w:val="00760D6F"/>
    <w:rsid w:val="00762C30"/>
    <w:rsid w:val="00762E93"/>
    <w:rsid w:val="00762FC2"/>
    <w:rsid w:val="00763D8D"/>
    <w:rsid w:val="00767EAB"/>
    <w:rsid w:val="007700EC"/>
    <w:rsid w:val="00773435"/>
    <w:rsid w:val="0077706A"/>
    <w:rsid w:val="00777D9D"/>
    <w:rsid w:val="00780798"/>
    <w:rsid w:val="00782FA0"/>
    <w:rsid w:val="007852ED"/>
    <w:rsid w:val="00785948"/>
    <w:rsid w:val="00787F72"/>
    <w:rsid w:val="0079309B"/>
    <w:rsid w:val="00794F75"/>
    <w:rsid w:val="00796793"/>
    <w:rsid w:val="00796A65"/>
    <w:rsid w:val="007A0270"/>
    <w:rsid w:val="007A146F"/>
    <w:rsid w:val="007A21B1"/>
    <w:rsid w:val="007A4B22"/>
    <w:rsid w:val="007B4766"/>
    <w:rsid w:val="007B4823"/>
    <w:rsid w:val="007B4C83"/>
    <w:rsid w:val="007B507A"/>
    <w:rsid w:val="007B7659"/>
    <w:rsid w:val="007C05C8"/>
    <w:rsid w:val="007C31BD"/>
    <w:rsid w:val="007C3C11"/>
    <w:rsid w:val="007C4955"/>
    <w:rsid w:val="007C5322"/>
    <w:rsid w:val="007C7246"/>
    <w:rsid w:val="007C740E"/>
    <w:rsid w:val="007C7524"/>
    <w:rsid w:val="007C7711"/>
    <w:rsid w:val="007D24E7"/>
    <w:rsid w:val="007D2B48"/>
    <w:rsid w:val="007D44FD"/>
    <w:rsid w:val="007D662F"/>
    <w:rsid w:val="007E0C90"/>
    <w:rsid w:val="007E7844"/>
    <w:rsid w:val="007E7DE2"/>
    <w:rsid w:val="007F1F3C"/>
    <w:rsid w:val="007F7C5B"/>
    <w:rsid w:val="00803626"/>
    <w:rsid w:val="00805F49"/>
    <w:rsid w:val="008073FE"/>
    <w:rsid w:val="00807CFD"/>
    <w:rsid w:val="00812E8D"/>
    <w:rsid w:val="008139F1"/>
    <w:rsid w:val="008154D1"/>
    <w:rsid w:val="00820512"/>
    <w:rsid w:val="00821344"/>
    <w:rsid w:val="00821517"/>
    <w:rsid w:val="00822181"/>
    <w:rsid w:val="00825208"/>
    <w:rsid w:val="00832CD3"/>
    <w:rsid w:val="00832F0D"/>
    <w:rsid w:val="00833337"/>
    <w:rsid w:val="00840A9B"/>
    <w:rsid w:val="00844650"/>
    <w:rsid w:val="00847D06"/>
    <w:rsid w:val="00853F37"/>
    <w:rsid w:val="00854629"/>
    <w:rsid w:val="00855A8F"/>
    <w:rsid w:val="00855B48"/>
    <w:rsid w:val="00856E8A"/>
    <w:rsid w:val="00857D16"/>
    <w:rsid w:val="008631DE"/>
    <w:rsid w:val="00872A84"/>
    <w:rsid w:val="0087360C"/>
    <w:rsid w:val="00874D51"/>
    <w:rsid w:val="00875966"/>
    <w:rsid w:val="00876508"/>
    <w:rsid w:val="00876774"/>
    <w:rsid w:val="00881B27"/>
    <w:rsid w:val="00882F30"/>
    <w:rsid w:val="00883C8F"/>
    <w:rsid w:val="0088711F"/>
    <w:rsid w:val="008879B8"/>
    <w:rsid w:val="008901E9"/>
    <w:rsid w:val="00891CAC"/>
    <w:rsid w:val="00894940"/>
    <w:rsid w:val="008959F3"/>
    <w:rsid w:val="00896472"/>
    <w:rsid w:val="00897D8C"/>
    <w:rsid w:val="008A1250"/>
    <w:rsid w:val="008A13C9"/>
    <w:rsid w:val="008A3749"/>
    <w:rsid w:val="008A3E1D"/>
    <w:rsid w:val="008A43DA"/>
    <w:rsid w:val="008A4A85"/>
    <w:rsid w:val="008A5F9C"/>
    <w:rsid w:val="008A6558"/>
    <w:rsid w:val="008A77FD"/>
    <w:rsid w:val="008B0AAA"/>
    <w:rsid w:val="008B129C"/>
    <w:rsid w:val="008B3AEC"/>
    <w:rsid w:val="008B4560"/>
    <w:rsid w:val="008B569A"/>
    <w:rsid w:val="008B6245"/>
    <w:rsid w:val="008C244F"/>
    <w:rsid w:val="008C3015"/>
    <w:rsid w:val="008C5079"/>
    <w:rsid w:val="008C63CD"/>
    <w:rsid w:val="008C6481"/>
    <w:rsid w:val="008C6FF7"/>
    <w:rsid w:val="008D57F5"/>
    <w:rsid w:val="008D6E81"/>
    <w:rsid w:val="008E08C7"/>
    <w:rsid w:val="008E2A93"/>
    <w:rsid w:val="008E350F"/>
    <w:rsid w:val="008E4B94"/>
    <w:rsid w:val="008F0894"/>
    <w:rsid w:val="008F1B1B"/>
    <w:rsid w:val="008F5A38"/>
    <w:rsid w:val="008F724D"/>
    <w:rsid w:val="00900580"/>
    <w:rsid w:val="00900DA1"/>
    <w:rsid w:val="00901D69"/>
    <w:rsid w:val="0090437A"/>
    <w:rsid w:val="0090442B"/>
    <w:rsid w:val="00911795"/>
    <w:rsid w:val="009154CE"/>
    <w:rsid w:val="009204B4"/>
    <w:rsid w:val="00920CFB"/>
    <w:rsid w:val="00921BA2"/>
    <w:rsid w:val="00923533"/>
    <w:rsid w:val="00924AF4"/>
    <w:rsid w:val="00924BAF"/>
    <w:rsid w:val="00924CEA"/>
    <w:rsid w:val="00926943"/>
    <w:rsid w:val="009315DF"/>
    <w:rsid w:val="009327F7"/>
    <w:rsid w:val="00941900"/>
    <w:rsid w:val="0094352B"/>
    <w:rsid w:val="009500F9"/>
    <w:rsid w:val="00951E3A"/>
    <w:rsid w:val="00955646"/>
    <w:rsid w:val="00956086"/>
    <w:rsid w:val="009572DE"/>
    <w:rsid w:val="009578D1"/>
    <w:rsid w:val="00961B6C"/>
    <w:rsid w:val="00970E9B"/>
    <w:rsid w:val="00971353"/>
    <w:rsid w:val="00971ED6"/>
    <w:rsid w:val="00976045"/>
    <w:rsid w:val="009811FF"/>
    <w:rsid w:val="0098201B"/>
    <w:rsid w:val="00982372"/>
    <w:rsid w:val="009830AD"/>
    <w:rsid w:val="009846D6"/>
    <w:rsid w:val="00990A6A"/>
    <w:rsid w:val="00990A8A"/>
    <w:rsid w:val="00990E28"/>
    <w:rsid w:val="00991C26"/>
    <w:rsid w:val="009929A0"/>
    <w:rsid w:val="00993C33"/>
    <w:rsid w:val="00993C7B"/>
    <w:rsid w:val="00997146"/>
    <w:rsid w:val="009A1B28"/>
    <w:rsid w:val="009A2FFE"/>
    <w:rsid w:val="009A657E"/>
    <w:rsid w:val="009A7749"/>
    <w:rsid w:val="009B15F5"/>
    <w:rsid w:val="009B1D13"/>
    <w:rsid w:val="009B21EF"/>
    <w:rsid w:val="009B57DE"/>
    <w:rsid w:val="009B667F"/>
    <w:rsid w:val="009B7CB0"/>
    <w:rsid w:val="009C1896"/>
    <w:rsid w:val="009C252D"/>
    <w:rsid w:val="009C3106"/>
    <w:rsid w:val="009C3EAF"/>
    <w:rsid w:val="009D1773"/>
    <w:rsid w:val="009D3736"/>
    <w:rsid w:val="009D472F"/>
    <w:rsid w:val="009D742D"/>
    <w:rsid w:val="009E05DE"/>
    <w:rsid w:val="009E2CE4"/>
    <w:rsid w:val="009E35CE"/>
    <w:rsid w:val="009E3F8C"/>
    <w:rsid w:val="009F20DA"/>
    <w:rsid w:val="009F3FD2"/>
    <w:rsid w:val="009F474F"/>
    <w:rsid w:val="00A00D2C"/>
    <w:rsid w:val="00A011B2"/>
    <w:rsid w:val="00A01FAD"/>
    <w:rsid w:val="00A03BC7"/>
    <w:rsid w:val="00A054D1"/>
    <w:rsid w:val="00A056D5"/>
    <w:rsid w:val="00A0633F"/>
    <w:rsid w:val="00A12264"/>
    <w:rsid w:val="00A1248C"/>
    <w:rsid w:val="00A131FC"/>
    <w:rsid w:val="00A163F1"/>
    <w:rsid w:val="00A24379"/>
    <w:rsid w:val="00A243B9"/>
    <w:rsid w:val="00A257EB"/>
    <w:rsid w:val="00A258D0"/>
    <w:rsid w:val="00A308E7"/>
    <w:rsid w:val="00A32A23"/>
    <w:rsid w:val="00A34A44"/>
    <w:rsid w:val="00A3524E"/>
    <w:rsid w:val="00A37FAF"/>
    <w:rsid w:val="00A41C01"/>
    <w:rsid w:val="00A4629A"/>
    <w:rsid w:val="00A4779C"/>
    <w:rsid w:val="00A47A44"/>
    <w:rsid w:val="00A47F28"/>
    <w:rsid w:val="00A50BA2"/>
    <w:rsid w:val="00A5421C"/>
    <w:rsid w:val="00A5434E"/>
    <w:rsid w:val="00A54475"/>
    <w:rsid w:val="00A556A2"/>
    <w:rsid w:val="00A55D74"/>
    <w:rsid w:val="00A5650F"/>
    <w:rsid w:val="00A57B32"/>
    <w:rsid w:val="00A66B34"/>
    <w:rsid w:val="00A73766"/>
    <w:rsid w:val="00A73BBC"/>
    <w:rsid w:val="00A755D6"/>
    <w:rsid w:val="00A77E5B"/>
    <w:rsid w:val="00A80D86"/>
    <w:rsid w:val="00A81310"/>
    <w:rsid w:val="00A82DE5"/>
    <w:rsid w:val="00A8427D"/>
    <w:rsid w:val="00A84AB3"/>
    <w:rsid w:val="00A85FE5"/>
    <w:rsid w:val="00A875C3"/>
    <w:rsid w:val="00A9329E"/>
    <w:rsid w:val="00A959BC"/>
    <w:rsid w:val="00A9657E"/>
    <w:rsid w:val="00A977F5"/>
    <w:rsid w:val="00AA188F"/>
    <w:rsid w:val="00AA2F17"/>
    <w:rsid w:val="00AA3B30"/>
    <w:rsid w:val="00AA4255"/>
    <w:rsid w:val="00AA6EB1"/>
    <w:rsid w:val="00AB0368"/>
    <w:rsid w:val="00AB46D5"/>
    <w:rsid w:val="00AB49F4"/>
    <w:rsid w:val="00AC05FA"/>
    <w:rsid w:val="00AC133A"/>
    <w:rsid w:val="00AC23DF"/>
    <w:rsid w:val="00AC67E7"/>
    <w:rsid w:val="00AD1FAD"/>
    <w:rsid w:val="00AD1FD2"/>
    <w:rsid w:val="00AD3D92"/>
    <w:rsid w:val="00AD6DBC"/>
    <w:rsid w:val="00AD6F25"/>
    <w:rsid w:val="00AE1E22"/>
    <w:rsid w:val="00AF034E"/>
    <w:rsid w:val="00AF5073"/>
    <w:rsid w:val="00AF5A96"/>
    <w:rsid w:val="00AF6123"/>
    <w:rsid w:val="00B01010"/>
    <w:rsid w:val="00B014CB"/>
    <w:rsid w:val="00B028D2"/>
    <w:rsid w:val="00B02FBE"/>
    <w:rsid w:val="00B05042"/>
    <w:rsid w:val="00B1211E"/>
    <w:rsid w:val="00B1431F"/>
    <w:rsid w:val="00B14A6B"/>
    <w:rsid w:val="00B15DD1"/>
    <w:rsid w:val="00B229D6"/>
    <w:rsid w:val="00B25884"/>
    <w:rsid w:val="00B258EE"/>
    <w:rsid w:val="00B2705E"/>
    <w:rsid w:val="00B3245A"/>
    <w:rsid w:val="00B362DE"/>
    <w:rsid w:val="00B37940"/>
    <w:rsid w:val="00B41767"/>
    <w:rsid w:val="00B42C3A"/>
    <w:rsid w:val="00B471AA"/>
    <w:rsid w:val="00B4730C"/>
    <w:rsid w:val="00B53ADE"/>
    <w:rsid w:val="00B54261"/>
    <w:rsid w:val="00B552B9"/>
    <w:rsid w:val="00B559DA"/>
    <w:rsid w:val="00B5753C"/>
    <w:rsid w:val="00B578BC"/>
    <w:rsid w:val="00B659FF"/>
    <w:rsid w:val="00B66032"/>
    <w:rsid w:val="00B66275"/>
    <w:rsid w:val="00B71070"/>
    <w:rsid w:val="00B719CD"/>
    <w:rsid w:val="00B72DC8"/>
    <w:rsid w:val="00B72F69"/>
    <w:rsid w:val="00B73142"/>
    <w:rsid w:val="00B76C19"/>
    <w:rsid w:val="00B80849"/>
    <w:rsid w:val="00B80D0D"/>
    <w:rsid w:val="00B8140C"/>
    <w:rsid w:val="00B81E8A"/>
    <w:rsid w:val="00B84205"/>
    <w:rsid w:val="00B84BD4"/>
    <w:rsid w:val="00B8506D"/>
    <w:rsid w:val="00B850D9"/>
    <w:rsid w:val="00B912EC"/>
    <w:rsid w:val="00B91CDD"/>
    <w:rsid w:val="00B9316F"/>
    <w:rsid w:val="00B93CA7"/>
    <w:rsid w:val="00BA11E1"/>
    <w:rsid w:val="00BA7D38"/>
    <w:rsid w:val="00BB068F"/>
    <w:rsid w:val="00BB07B6"/>
    <w:rsid w:val="00BB1418"/>
    <w:rsid w:val="00BB270F"/>
    <w:rsid w:val="00BB27C6"/>
    <w:rsid w:val="00BB39FE"/>
    <w:rsid w:val="00BC1A5C"/>
    <w:rsid w:val="00BC288A"/>
    <w:rsid w:val="00BC3CA3"/>
    <w:rsid w:val="00BC4D68"/>
    <w:rsid w:val="00BC5724"/>
    <w:rsid w:val="00BC7438"/>
    <w:rsid w:val="00BC75BD"/>
    <w:rsid w:val="00BD01D0"/>
    <w:rsid w:val="00BD0735"/>
    <w:rsid w:val="00BD2B9A"/>
    <w:rsid w:val="00BD306F"/>
    <w:rsid w:val="00BD32A7"/>
    <w:rsid w:val="00BD3ECC"/>
    <w:rsid w:val="00BD57FD"/>
    <w:rsid w:val="00BD588C"/>
    <w:rsid w:val="00BE2202"/>
    <w:rsid w:val="00BE728D"/>
    <w:rsid w:val="00BF3C37"/>
    <w:rsid w:val="00BF4D94"/>
    <w:rsid w:val="00C0244B"/>
    <w:rsid w:val="00C0255C"/>
    <w:rsid w:val="00C02581"/>
    <w:rsid w:val="00C02B1A"/>
    <w:rsid w:val="00C03443"/>
    <w:rsid w:val="00C05B6C"/>
    <w:rsid w:val="00C05F1D"/>
    <w:rsid w:val="00C07D14"/>
    <w:rsid w:val="00C1117A"/>
    <w:rsid w:val="00C17E8F"/>
    <w:rsid w:val="00C23A21"/>
    <w:rsid w:val="00C2624D"/>
    <w:rsid w:val="00C26B48"/>
    <w:rsid w:val="00C27388"/>
    <w:rsid w:val="00C32417"/>
    <w:rsid w:val="00C32B79"/>
    <w:rsid w:val="00C3425C"/>
    <w:rsid w:val="00C36142"/>
    <w:rsid w:val="00C36BC1"/>
    <w:rsid w:val="00C40EB7"/>
    <w:rsid w:val="00C47C85"/>
    <w:rsid w:val="00C50C3E"/>
    <w:rsid w:val="00C51999"/>
    <w:rsid w:val="00C604D9"/>
    <w:rsid w:val="00C60824"/>
    <w:rsid w:val="00C6347D"/>
    <w:rsid w:val="00C65100"/>
    <w:rsid w:val="00C6773F"/>
    <w:rsid w:val="00C72B80"/>
    <w:rsid w:val="00C73F4A"/>
    <w:rsid w:val="00C74065"/>
    <w:rsid w:val="00C80563"/>
    <w:rsid w:val="00C854A7"/>
    <w:rsid w:val="00C875DB"/>
    <w:rsid w:val="00C90247"/>
    <w:rsid w:val="00C911EB"/>
    <w:rsid w:val="00C9124F"/>
    <w:rsid w:val="00C9133C"/>
    <w:rsid w:val="00C93B94"/>
    <w:rsid w:val="00C941E1"/>
    <w:rsid w:val="00C952FB"/>
    <w:rsid w:val="00C97252"/>
    <w:rsid w:val="00C9796C"/>
    <w:rsid w:val="00CA01D9"/>
    <w:rsid w:val="00CA2095"/>
    <w:rsid w:val="00CA42EA"/>
    <w:rsid w:val="00CB23DA"/>
    <w:rsid w:val="00CB6D9F"/>
    <w:rsid w:val="00CB7500"/>
    <w:rsid w:val="00CB7957"/>
    <w:rsid w:val="00CC293D"/>
    <w:rsid w:val="00CD03B7"/>
    <w:rsid w:val="00CD1F93"/>
    <w:rsid w:val="00CD3D6A"/>
    <w:rsid w:val="00CD77F2"/>
    <w:rsid w:val="00CE43EE"/>
    <w:rsid w:val="00CE54C2"/>
    <w:rsid w:val="00CF043A"/>
    <w:rsid w:val="00CF0666"/>
    <w:rsid w:val="00CF0E52"/>
    <w:rsid w:val="00CF3B7F"/>
    <w:rsid w:val="00CF52C5"/>
    <w:rsid w:val="00D00D1C"/>
    <w:rsid w:val="00D051E0"/>
    <w:rsid w:val="00D06CEE"/>
    <w:rsid w:val="00D07C6F"/>
    <w:rsid w:val="00D12115"/>
    <w:rsid w:val="00D136EA"/>
    <w:rsid w:val="00D16D51"/>
    <w:rsid w:val="00D2070E"/>
    <w:rsid w:val="00D2148A"/>
    <w:rsid w:val="00D217C1"/>
    <w:rsid w:val="00D2764F"/>
    <w:rsid w:val="00D30AC3"/>
    <w:rsid w:val="00D30F5F"/>
    <w:rsid w:val="00D3242E"/>
    <w:rsid w:val="00D35D7F"/>
    <w:rsid w:val="00D3743C"/>
    <w:rsid w:val="00D37767"/>
    <w:rsid w:val="00D40AC3"/>
    <w:rsid w:val="00D411DA"/>
    <w:rsid w:val="00D466F5"/>
    <w:rsid w:val="00D46B73"/>
    <w:rsid w:val="00D47C80"/>
    <w:rsid w:val="00D50923"/>
    <w:rsid w:val="00D530BF"/>
    <w:rsid w:val="00D5570B"/>
    <w:rsid w:val="00D57A46"/>
    <w:rsid w:val="00D57B8E"/>
    <w:rsid w:val="00D60269"/>
    <w:rsid w:val="00D61E48"/>
    <w:rsid w:val="00D651B7"/>
    <w:rsid w:val="00D709C2"/>
    <w:rsid w:val="00D71094"/>
    <w:rsid w:val="00D7302D"/>
    <w:rsid w:val="00D75AB1"/>
    <w:rsid w:val="00D7769D"/>
    <w:rsid w:val="00D84838"/>
    <w:rsid w:val="00D85500"/>
    <w:rsid w:val="00D90038"/>
    <w:rsid w:val="00D929BB"/>
    <w:rsid w:val="00D94663"/>
    <w:rsid w:val="00D94675"/>
    <w:rsid w:val="00D96CC9"/>
    <w:rsid w:val="00DA08D0"/>
    <w:rsid w:val="00DA1F2E"/>
    <w:rsid w:val="00DA3ED5"/>
    <w:rsid w:val="00DA48F1"/>
    <w:rsid w:val="00DB4F8A"/>
    <w:rsid w:val="00DB7076"/>
    <w:rsid w:val="00DC3843"/>
    <w:rsid w:val="00DC3BBA"/>
    <w:rsid w:val="00DD071B"/>
    <w:rsid w:val="00DD1EC1"/>
    <w:rsid w:val="00DD1F9F"/>
    <w:rsid w:val="00DD32BE"/>
    <w:rsid w:val="00DD589E"/>
    <w:rsid w:val="00DD611A"/>
    <w:rsid w:val="00DD68AE"/>
    <w:rsid w:val="00DE5378"/>
    <w:rsid w:val="00DE7532"/>
    <w:rsid w:val="00DF07BC"/>
    <w:rsid w:val="00DF3767"/>
    <w:rsid w:val="00DF3A11"/>
    <w:rsid w:val="00DF5725"/>
    <w:rsid w:val="00DF5859"/>
    <w:rsid w:val="00DF790C"/>
    <w:rsid w:val="00E002B1"/>
    <w:rsid w:val="00E01212"/>
    <w:rsid w:val="00E017FB"/>
    <w:rsid w:val="00E01C81"/>
    <w:rsid w:val="00E047AD"/>
    <w:rsid w:val="00E07EF4"/>
    <w:rsid w:val="00E104B8"/>
    <w:rsid w:val="00E114E3"/>
    <w:rsid w:val="00E1258B"/>
    <w:rsid w:val="00E13A95"/>
    <w:rsid w:val="00E13C40"/>
    <w:rsid w:val="00E13FBC"/>
    <w:rsid w:val="00E15055"/>
    <w:rsid w:val="00E16482"/>
    <w:rsid w:val="00E16F7C"/>
    <w:rsid w:val="00E206BE"/>
    <w:rsid w:val="00E22441"/>
    <w:rsid w:val="00E23397"/>
    <w:rsid w:val="00E240C5"/>
    <w:rsid w:val="00E33099"/>
    <w:rsid w:val="00E3334C"/>
    <w:rsid w:val="00E337EA"/>
    <w:rsid w:val="00E33B6F"/>
    <w:rsid w:val="00E33E2D"/>
    <w:rsid w:val="00E368AA"/>
    <w:rsid w:val="00E37549"/>
    <w:rsid w:val="00E376CD"/>
    <w:rsid w:val="00E37FE9"/>
    <w:rsid w:val="00E41AEE"/>
    <w:rsid w:val="00E41E04"/>
    <w:rsid w:val="00E436D8"/>
    <w:rsid w:val="00E46ACB"/>
    <w:rsid w:val="00E514E1"/>
    <w:rsid w:val="00E51BFB"/>
    <w:rsid w:val="00E52E9A"/>
    <w:rsid w:val="00E53C81"/>
    <w:rsid w:val="00E5498F"/>
    <w:rsid w:val="00E57F86"/>
    <w:rsid w:val="00E60589"/>
    <w:rsid w:val="00E6065E"/>
    <w:rsid w:val="00E6101A"/>
    <w:rsid w:val="00E632CD"/>
    <w:rsid w:val="00E661B8"/>
    <w:rsid w:val="00E678A8"/>
    <w:rsid w:val="00E73CE8"/>
    <w:rsid w:val="00E7436C"/>
    <w:rsid w:val="00E75B27"/>
    <w:rsid w:val="00E75F19"/>
    <w:rsid w:val="00E80147"/>
    <w:rsid w:val="00E80666"/>
    <w:rsid w:val="00E80E54"/>
    <w:rsid w:val="00E825A1"/>
    <w:rsid w:val="00E943DB"/>
    <w:rsid w:val="00E95C80"/>
    <w:rsid w:val="00EA0257"/>
    <w:rsid w:val="00EA1AEF"/>
    <w:rsid w:val="00EA25C5"/>
    <w:rsid w:val="00EA54C8"/>
    <w:rsid w:val="00EB615B"/>
    <w:rsid w:val="00EC4F5B"/>
    <w:rsid w:val="00EC68A0"/>
    <w:rsid w:val="00EC6AEA"/>
    <w:rsid w:val="00ED06ED"/>
    <w:rsid w:val="00ED0D5D"/>
    <w:rsid w:val="00ED10C0"/>
    <w:rsid w:val="00ED169F"/>
    <w:rsid w:val="00ED419D"/>
    <w:rsid w:val="00ED442E"/>
    <w:rsid w:val="00ED4E4E"/>
    <w:rsid w:val="00EE757E"/>
    <w:rsid w:val="00EE7C69"/>
    <w:rsid w:val="00EF1790"/>
    <w:rsid w:val="00EF4637"/>
    <w:rsid w:val="00EF4EDF"/>
    <w:rsid w:val="00EF5062"/>
    <w:rsid w:val="00EF6B45"/>
    <w:rsid w:val="00EF6D59"/>
    <w:rsid w:val="00F0196C"/>
    <w:rsid w:val="00F03BD5"/>
    <w:rsid w:val="00F0476A"/>
    <w:rsid w:val="00F054D1"/>
    <w:rsid w:val="00F062F7"/>
    <w:rsid w:val="00F12D57"/>
    <w:rsid w:val="00F12DC2"/>
    <w:rsid w:val="00F1769E"/>
    <w:rsid w:val="00F20756"/>
    <w:rsid w:val="00F22B13"/>
    <w:rsid w:val="00F238A3"/>
    <w:rsid w:val="00F23E14"/>
    <w:rsid w:val="00F24749"/>
    <w:rsid w:val="00F261A3"/>
    <w:rsid w:val="00F2692A"/>
    <w:rsid w:val="00F328D0"/>
    <w:rsid w:val="00F3433F"/>
    <w:rsid w:val="00F3537E"/>
    <w:rsid w:val="00F36B53"/>
    <w:rsid w:val="00F41AB2"/>
    <w:rsid w:val="00F41D20"/>
    <w:rsid w:val="00F43EDD"/>
    <w:rsid w:val="00F44105"/>
    <w:rsid w:val="00F45C11"/>
    <w:rsid w:val="00F46736"/>
    <w:rsid w:val="00F47AC3"/>
    <w:rsid w:val="00F54D44"/>
    <w:rsid w:val="00F55B40"/>
    <w:rsid w:val="00F57F30"/>
    <w:rsid w:val="00F60857"/>
    <w:rsid w:val="00F64026"/>
    <w:rsid w:val="00F65A26"/>
    <w:rsid w:val="00F66A05"/>
    <w:rsid w:val="00F67798"/>
    <w:rsid w:val="00F70798"/>
    <w:rsid w:val="00F70D28"/>
    <w:rsid w:val="00F72594"/>
    <w:rsid w:val="00F74DF7"/>
    <w:rsid w:val="00F80BA2"/>
    <w:rsid w:val="00F8287F"/>
    <w:rsid w:val="00F85729"/>
    <w:rsid w:val="00F93FBA"/>
    <w:rsid w:val="00F94FAB"/>
    <w:rsid w:val="00F96D38"/>
    <w:rsid w:val="00F97710"/>
    <w:rsid w:val="00FA0DC4"/>
    <w:rsid w:val="00FA2305"/>
    <w:rsid w:val="00FA24C9"/>
    <w:rsid w:val="00FA24D4"/>
    <w:rsid w:val="00FA27F6"/>
    <w:rsid w:val="00FA622E"/>
    <w:rsid w:val="00FB05D5"/>
    <w:rsid w:val="00FB0A47"/>
    <w:rsid w:val="00FB0A79"/>
    <w:rsid w:val="00FB1568"/>
    <w:rsid w:val="00FB483F"/>
    <w:rsid w:val="00FB5B33"/>
    <w:rsid w:val="00FB61C4"/>
    <w:rsid w:val="00FC0A00"/>
    <w:rsid w:val="00FC0C23"/>
    <w:rsid w:val="00FC3370"/>
    <w:rsid w:val="00FC373D"/>
    <w:rsid w:val="00FC387A"/>
    <w:rsid w:val="00FC3BBE"/>
    <w:rsid w:val="00FC43DF"/>
    <w:rsid w:val="00FD0027"/>
    <w:rsid w:val="00FD0DF4"/>
    <w:rsid w:val="00FD345E"/>
    <w:rsid w:val="00FD50B5"/>
    <w:rsid w:val="00FE3023"/>
    <w:rsid w:val="00FE3251"/>
    <w:rsid w:val="00FE5A93"/>
    <w:rsid w:val="00FE5AEF"/>
    <w:rsid w:val="00FE687C"/>
    <w:rsid w:val="00FE69E1"/>
    <w:rsid w:val="00FF0036"/>
    <w:rsid w:val="00FF15B7"/>
    <w:rsid w:val="00FF196D"/>
    <w:rsid w:val="00FF3994"/>
    <w:rsid w:val="00FF7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C94D7F-533C-4EE2-84EA-6102906E0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646"/>
    <w:pPr>
      <w:spacing w:before="360" w:after="360" w:line="480" w:lineRule="auto"/>
      <w:contextualSpacing/>
      <w:jc w:val="both"/>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955646"/>
    <w:pPr>
      <w:spacing w:after="200" w:line="240" w:lineRule="auto"/>
      <w:jc w:val="left"/>
    </w:pPr>
    <w:rPr>
      <w:b/>
      <w:bCs/>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584</Words>
  <Characters>3332</Characters>
  <Application>Microsoft Office Word</Application>
  <DocSecurity>0</DocSecurity>
  <Lines>27</Lines>
  <Paragraphs>7</Paragraphs>
  <ScaleCrop>false</ScaleCrop>
  <Company/>
  <LinksUpToDate>false</LinksUpToDate>
  <CharactersWithSpaces>3909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vlaev</dc:creator>
  <cp:keywords/>
  <dc:description/>
  <cp:lastModifiedBy>ivo vlaev</cp:lastModifiedBy>
  <cp:revision>10</cp:revision>
  <dcterms:created xsi:type="dcterms:W3CDTF">2015-05-09T12:07:00Z</dcterms:created>
  <dcterms:modified xsi:type="dcterms:W3CDTF">2015-12-09T16:04:00Z</dcterms:modified>
</cp:coreProperties>
</file>