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06" w:rsidRDefault="005F0806" w:rsidP="005F080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Patient motivation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non-persistence with medication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impact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self-reported compliance. </w:t>
      </w:r>
    </w:p>
    <w:p w:rsidR="005C7AB4" w:rsidRDefault="005C7AB4" w:rsidP="009B219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219A" w:rsidRPr="00AE4162" w:rsidRDefault="009B219A" w:rsidP="009B219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Running</w:t>
      </w:r>
      <w:r w:rsidRPr="00AE4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title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E4162">
        <w:rPr>
          <w:rFonts w:ascii="Times New Roman" w:hAnsi="Times New Roman" w:cs="Times New Roman"/>
          <w:sz w:val="24"/>
          <w:szCs w:val="24"/>
          <w:lang w:val="en-US"/>
        </w:rPr>
        <w:t>Patient motivation impacts in compliance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7AB4" w:rsidRPr="008C63FA" w:rsidRDefault="005C7AB4" w:rsidP="0048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0974" w:rsidRPr="00C23D92" w:rsidRDefault="002C26C5" w:rsidP="0048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2">
        <w:rPr>
          <w:rFonts w:ascii="Times New Roman" w:hAnsi="Times New Roman" w:cs="Times New Roman"/>
          <w:sz w:val="24"/>
          <w:szCs w:val="24"/>
        </w:rPr>
        <w:t>Contreras-Yáñez I</w:t>
      </w:r>
      <w:r w:rsidR="00AE4162" w:rsidRPr="00AE41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23D92">
        <w:rPr>
          <w:rFonts w:ascii="Times New Roman" w:hAnsi="Times New Roman" w:cs="Times New Roman"/>
          <w:sz w:val="24"/>
          <w:szCs w:val="24"/>
        </w:rPr>
        <w:t xml:space="preserve">, Pérez-Román </w:t>
      </w:r>
      <w:r w:rsidR="00BF1EAB" w:rsidRPr="00C23D92">
        <w:rPr>
          <w:rFonts w:ascii="Times New Roman" w:hAnsi="Times New Roman" w:cs="Times New Roman"/>
          <w:sz w:val="24"/>
          <w:szCs w:val="24"/>
        </w:rPr>
        <w:t>DI</w:t>
      </w:r>
      <w:r w:rsidR="00AE4162" w:rsidRPr="00AE41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20974" w:rsidRPr="00C23D92">
        <w:rPr>
          <w:rFonts w:ascii="Times New Roman" w:hAnsi="Times New Roman" w:cs="Times New Roman"/>
          <w:sz w:val="24"/>
          <w:szCs w:val="24"/>
        </w:rPr>
        <w:t>,  Pascual-Ramos V</w:t>
      </w:r>
      <w:r w:rsidR="00AE4162" w:rsidRPr="00AE41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20974" w:rsidRPr="00C23D92">
        <w:rPr>
          <w:rFonts w:ascii="Times New Roman" w:hAnsi="Times New Roman" w:cs="Times New Roman"/>
          <w:sz w:val="24"/>
          <w:szCs w:val="24"/>
        </w:rPr>
        <w:t>.</w:t>
      </w:r>
    </w:p>
    <w:p w:rsidR="00632C53" w:rsidRPr="009B219A" w:rsidRDefault="00AE4162" w:rsidP="00AE41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0C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3640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C53" w:rsidRPr="00AE4162">
        <w:rPr>
          <w:rFonts w:ascii="Times New Roman" w:hAnsi="Times New Roman" w:cs="Times New Roman"/>
          <w:sz w:val="24"/>
          <w:szCs w:val="24"/>
          <w:lang w:val="en-US"/>
        </w:rPr>
        <w:t>Department of Immunology and Rheumatology.</w:t>
      </w:r>
      <w:proofErr w:type="gramEnd"/>
      <w:r w:rsidR="00632C53" w:rsidRPr="00AE4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C53" w:rsidRPr="00AE4162">
        <w:rPr>
          <w:rFonts w:ascii="Times New Roman" w:hAnsi="Times New Roman" w:cs="Times New Roman"/>
          <w:sz w:val="24"/>
          <w:szCs w:val="24"/>
        </w:rPr>
        <w:t xml:space="preserve">Instituto Nacional de Ciencias Médicas y Nutrición Salvador Zubirán. DF. </w:t>
      </w:r>
      <w:r w:rsidR="00632C53" w:rsidRPr="009B219A">
        <w:rPr>
          <w:rFonts w:ascii="Times New Roman" w:hAnsi="Times New Roman" w:cs="Times New Roman"/>
          <w:sz w:val="24"/>
          <w:szCs w:val="24"/>
        </w:rPr>
        <w:t>México.</w:t>
      </w:r>
    </w:p>
    <w:p w:rsidR="005C7AB4" w:rsidRDefault="005C7AB4" w:rsidP="009B219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19A" w:rsidRPr="00DD115C" w:rsidRDefault="00230258" w:rsidP="009B219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Correspondence</w:t>
      </w:r>
      <w:proofErr w:type="spellEnd"/>
    </w:p>
    <w:p w:rsidR="009B219A" w:rsidRPr="00DD115C" w:rsidRDefault="009B219A" w:rsidP="009B21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15C">
        <w:rPr>
          <w:rFonts w:ascii="Times New Roman" w:hAnsi="Times New Roman" w:cs="Times New Roman"/>
          <w:sz w:val="24"/>
          <w:szCs w:val="24"/>
        </w:rPr>
        <w:t>Virginia Pascual-Ramos</w:t>
      </w:r>
    </w:p>
    <w:p w:rsidR="009B219A" w:rsidRDefault="009B219A" w:rsidP="009B21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</w:rPr>
        <w:t xml:space="preserve">Instituto Nacional de Ciencias Médicas y Nutrición Salvador Zubirán. Vasco de Quiroga 15, Colonia Belisario Domínguez, Sección XVI, Tlalpan 14500. México DF. </w:t>
      </w:r>
      <w:proofErr w:type="gramStart"/>
      <w:r w:rsidRPr="00C23D92">
        <w:rPr>
          <w:rFonts w:ascii="Times New Roman" w:hAnsi="Times New Roman" w:cs="Times New Roman"/>
          <w:sz w:val="24"/>
          <w:szCs w:val="24"/>
          <w:lang w:val="en-US"/>
        </w:rPr>
        <w:t>México.</w:t>
      </w:r>
      <w:proofErr w:type="gramEnd"/>
    </w:p>
    <w:p w:rsidR="009B219A" w:rsidRDefault="00735EEC" w:rsidP="009B21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9B219A" w:rsidRPr="00A06AC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virtichu@gmail.com</w:t>
        </w:r>
      </w:hyperlink>
    </w:p>
    <w:p w:rsidR="00632C53" w:rsidRPr="00C23D92" w:rsidRDefault="00632C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7AB4" w:rsidRDefault="005C7AB4" w:rsidP="001B347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7AB4" w:rsidRDefault="005C7AB4" w:rsidP="001B347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7AB4" w:rsidRDefault="005C7AB4" w:rsidP="001B347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7AB4" w:rsidRDefault="005C7AB4" w:rsidP="001B347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00A3" w:rsidRPr="00230258" w:rsidRDefault="001200A3" w:rsidP="00230258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025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:rsidR="001200A3" w:rsidRPr="00C23D92" w:rsidRDefault="00230258" w:rsidP="001B347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1.1 </w:t>
      </w:r>
      <w:r w:rsidR="001200A3" w:rsidRPr="00C23D92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4501C2" w:rsidRPr="00C23D92" w:rsidRDefault="004501C2" w:rsidP="004501C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>In 2004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n inception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cohort of recent-onset </w:t>
      </w:r>
      <w:r>
        <w:rPr>
          <w:rFonts w:ascii="Times New Roman" w:hAnsi="Times New Roman" w:cs="Times New Roman"/>
          <w:sz w:val="24"/>
          <w:szCs w:val="24"/>
          <w:lang w:val="en-US"/>
        </w:rPr>
        <w:t>rheumatoid arthritis patients was initiated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From 2008 onward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, compliance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therapy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assessed through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a questionnaire that additionally investigated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predefined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motivations for </w:t>
      </w:r>
      <w:r>
        <w:rPr>
          <w:rFonts w:ascii="Times New Roman" w:hAnsi="Times New Roman" w:cs="Times New Roman"/>
          <w:sz w:val="24"/>
          <w:szCs w:val="24"/>
          <w:lang w:val="en-US"/>
        </w:rPr>
        <w:t>non-persistence with therapy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, and a visual analogue scale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VAS). </w:t>
      </w:r>
      <w:r w:rsidRPr="00C23D92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bjectives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were to examine the correlation between the </w:t>
      </w:r>
      <w:r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VAS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assess compliance,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 to investigate if the selection of patient-independent motivations for non-</w:t>
      </w:r>
      <w:r>
        <w:rPr>
          <w:rFonts w:ascii="Times New Roman" w:hAnsi="Times New Roman" w:cs="Times New Roman"/>
          <w:sz w:val="24"/>
          <w:szCs w:val="24"/>
          <w:lang w:val="en-US"/>
        </w:rPr>
        <w:t>persistence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predicted better </w:t>
      </w:r>
      <w:r>
        <w:rPr>
          <w:rFonts w:ascii="Times New Roman" w:hAnsi="Times New Roman" w:cs="Times New Roman"/>
          <w:sz w:val="24"/>
          <w:szCs w:val="24"/>
          <w:lang w:val="en-US"/>
        </w:rPr>
        <w:t>self-reported 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B4880" w:rsidRPr="004501C2" w:rsidRDefault="009B219A" w:rsidP="004501C2">
      <w:pPr>
        <w:pStyle w:val="Prrafodelista"/>
        <w:numPr>
          <w:ilvl w:val="1"/>
          <w:numId w:val="6"/>
        </w:num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01C2"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="00BB4880" w:rsidRPr="004501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methods</w:t>
      </w:r>
    </w:p>
    <w:p w:rsidR="004501C2" w:rsidRPr="004501C2" w:rsidRDefault="004501C2" w:rsidP="004501C2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501C2">
        <w:rPr>
          <w:rFonts w:ascii="Times New Roman" w:hAnsi="Times New Roman" w:cs="Times New Roman"/>
          <w:bCs/>
          <w:sz w:val="24"/>
          <w:szCs w:val="24"/>
          <w:lang w:val="en-US"/>
        </w:rPr>
        <w:t>Up to January 2016, the cohort comprised 180 patients with variable follow-up. Each motivation for non-persistence was classified as patient-dependent or patient-independent by 50 patients randomly interviewed (≥70% agreement). Descriptive statistics as well as multiple regression analysis were used. Written informed consent was obtained.</w:t>
      </w:r>
    </w:p>
    <w:p w:rsidR="009D236F" w:rsidRPr="00C23D92" w:rsidRDefault="00230258" w:rsidP="001B347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1.3 </w:t>
      </w:r>
      <w:r w:rsidR="009D236F" w:rsidRPr="00C23D92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</w:p>
    <w:p w:rsidR="004501C2" w:rsidRPr="00C23D92" w:rsidRDefault="004501C2" w:rsidP="004501C2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Length of follow-up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from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160 patients for which data were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completed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was 6.7±3.4 years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all the patients scored 1516 pairs of questionnaire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and VAS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and the correlation between them was moderate, r=0.468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p=0.001.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Optimal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VAS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cut-off value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predict compliance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per questionnaire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≤7.5 mm.</w:t>
      </w:r>
    </w:p>
    <w:p w:rsidR="004501C2" w:rsidRDefault="004501C2" w:rsidP="004501C2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During follow-up, there were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670 questionnaires scored as with non-persistence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among whom, 654 had 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 least one motivation for non-persistence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selected; of them,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549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(70.2%) corresponded to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non-persistence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patients who selected only patient-independent motivations. The selection of exclusively independent motivations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non-persistence predicted better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VAS and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questionnaire´s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scores. Also, the selection of exclusively 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ndependent motivations for non-persistence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predicted compliance either per VAS (OR: 15.6, 95%CI: 5.4-45.3, p≤0.001) or per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questionnaire (OR: 2.25, 95%CI: 1.1-4.7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, p=0.034).</w:t>
      </w:r>
    </w:p>
    <w:p w:rsidR="0018164A" w:rsidRPr="00C23D92" w:rsidRDefault="00230258" w:rsidP="001B347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1.4 </w:t>
      </w:r>
      <w:r w:rsidR="0018164A" w:rsidRPr="00C23D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Conclusions </w:t>
      </w:r>
    </w:p>
    <w:p w:rsidR="00445181" w:rsidRPr="00A511CA" w:rsidRDefault="00A511CA" w:rsidP="001B347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11CA">
        <w:rPr>
          <w:rFonts w:ascii="Times New Roman" w:hAnsi="Times New Roman" w:cs="Times New Roman"/>
          <w:sz w:val="24"/>
          <w:szCs w:val="24"/>
          <w:lang w:val="en-US"/>
        </w:rPr>
        <w:t>Patient motivation for non-persistence with medication impacts s</w:t>
      </w:r>
      <w:r w:rsidR="004501C2">
        <w:rPr>
          <w:rFonts w:ascii="Times New Roman" w:hAnsi="Times New Roman" w:cs="Times New Roman"/>
          <w:sz w:val="24"/>
          <w:szCs w:val="24"/>
          <w:lang w:val="en-US"/>
        </w:rPr>
        <w:t>elf-reported compliance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45181" w:rsidRPr="00C23D92" w:rsidRDefault="00445181" w:rsidP="0018164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733AE" w:rsidRPr="00C23D92" w:rsidRDefault="007177C2" w:rsidP="008F57B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D1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 </w:t>
      </w:r>
      <w:r w:rsidR="00DD115C" w:rsidRPr="00DD115C">
        <w:rPr>
          <w:rFonts w:ascii="Times New Roman" w:hAnsi="Times New Roman" w:cs="Times New Roman"/>
          <w:b/>
          <w:bCs/>
          <w:sz w:val="24"/>
          <w:szCs w:val="24"/>
          <w:lang w:val="en-US"/>
        </w:rPr>
        <w:t>indexing M</w:t>
      </w:r>
      <w:r w:rsidRPr="00DD115C">
        <w:rPr>
          <w:rFonts w:ascii="Times New Roman" w:hAnsi="Times New Roman" w:cs="Times New Roman"/>
          <w:b/>
          <w:bCs/>
          <w:sz w:val="24"/>
          <w:szCs w:val="24"/>
          <w:lang w:val="en-US"/>
        </w:rPr>
        <w:t>es</w:t>
      </w:r>
      <w:r w:rsidR="004426EE" w:rsidRPr="00DD115C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DD115C" w:rsidRPr="00DD1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terms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rheumatoid arthritis, adherence medication, </w:t>
      </w:r>
      <w:r w:rsidR="004426EE">
        <w:rPr>
          <w:rFonts w:ascii="Times New Roman" w:hAnsi="Times New Roman" w:cs="Times New Roman"/>
          <w:bCs/>
          <w:sz w:val="24"/>
          <w:szCs w:val="24"/>
          <w:lang w:val="en-US"/>
        </w:rPr>
        <w:t>health behavior.</w:t>
      </w:r>
    </w:p>
    <w:p w:rsidR="005C743D" w:rsidRPr="00C23D92" w:rsidRDefault="005C743D" w:rsidP="00F4021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F2058D" w:rsidP="005F08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0806" w:rsidRPr="00230258" w:rsidRDefault="005F0806" w:rsidP="0023025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025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INTRODUCTION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>Rheumatoid arthritis (RA) is a chronic inflammatory disease that frequently results in disability and morbidity, and is assoc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iated with increased mortality (</w:t>
      </w:r>
      <w:proofErr w:type="spellStart"/>
      <w:r w:rsidR="008C63FA">
        <w:rPr>
          <w:rFonts w:ascii="Times New Roman" w:hAnsi="Times New Roman" w:cs="Times New Roman"/>
          <w:sz w:val="24"/>
          <w:szCs w:val="24"/>
          <w:lang w:val="en-US"/>
        </w:rPr>
        <w:t>Kosinski</w:t>
      </w:r>
      <w:proofErr w:type="spellEnd"/>
      <w:r w:rsidR="008C63FA">
        <w:rPr>
          <w:rFonts w:ascii="Times New Roman" w:hAnsi="Times New Roman" w:cs="Times New Roman"/>
          <w:sz w:val="24"/>
          <w:szCs w:val="24"/>
          <w:lang w:val="en-US"/>
        </w:rPr>
        <w:t xml:space="preserve"> M et al</w:t>
      </w:r>
      <w:r w:rsidR="002302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C63FA">
        <w:rPr>
          <w:rFonts w:ascii="Times New Roman" w:hAnsi="Times New Roman" w:cs="Times New Roman"/>
          <w:sz w:val="24"/>
          <w:szCs w:val="24"/>
          <w:lang w:val="en-US"/>
        </w:rPr>
        <w:t xml:space="preserve"> 2002</w:t>
      </w:r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, Sanderson T &amp; </w:t>
      </w:r>
      <w:proofErr w:type="spellStart"/>
      <w:r w:rsidR="00811C1B">
        <w:rPr>
          <w:rFonts w:ascii="Times New Roman" w:hAnsi="Times New Roman" w:cs="Times New Roman"/>
          <w:sz w:val="24"/>
          <w:szCs w:val="24"/>
          <w:lang w:val="en-US"/>
        </w:rPr>
        <w:t>Kirwan</w:t>
      </w:r>
      <w:proofErr w:type="spellEnd"/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 J 2009, Wolfe F et al,</w:t>
      </w:r>
      <w:r w:rsidR="008C63FA">
        <w:rPr>
          <w:rFonts w:ascii="Times New Roman" w:hAnsi="Times New Roman" w:cs="Times New Roman"/>
          <w:sz w:val="24"/>
          <w:szCs w:val="24"/>
          <w:lang w:val="en-US"/>
        </w:rPr>
        <w:t xml:space="preserve"> 1994)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Aggressive and early use of disease modifying anti-rheumatic drugs (DMARDs), targeted to achieve remission or </w:t>
      </w:r>
      <w:r>
        <w:rPr>
          <w:rFonts w:ascii="Times New Roman" w:hAnsi="Times New Roman" w:cs="Times New Roman"/>
          <w:sz w:val="24"/>
          <w:szCs w:val="24"/>
          <w:lang w:val="en-US"/>
        </w:rPr>
        <w:t>mitigate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disease activity, is the mainstay of treatment and has been shown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the most effective strategy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improv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patient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 outcomes (</w:t>
      </w:r>
      <w:proofErr w:type="spellStart"/>
      <w:r w:rsidR="00811C1B">
        <w:rPr>
          <w:rFonts w:ascii="Times New Roman" w:hAnsi="Times New Roman" w:cs="Times New Roman"/>
          <w:sz w:val="24"/>
          <w:szCs w:val="24"/>
          <w:lang w:val="en-US"/>
        </w:rPr>
        <w:t>Grigor</w:t>
      </w:r>
      <w:proofErr w:type="spellEnd"/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  et al, 2004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. N</w:t>
      </w:r>
      <w:r>
        <w:rPr>
          <w:rFonts w:ascii="Times New Roman" w:hAnsi="Times New Roman" w:cs="Times New Roman"/>
          <w:sz w:val="24"/>
          <w:szCs w:val="24"/>
          <w:lang w:val="en-US"/>
        </w:rPr>
        <w:t>evertheless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, poor adherence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therapy is </w:t>
      </w:r>
      <w:r>
        <w:rPr>
          <w:rFonts w:ascii="Times New Roman" w:hAnsi="Times New Roman" w:cs="Times New Roman"/>
          <w:sz w:val="24"/>
          <w:szCs w:val="24"/>
          <w:lang w:val="en-US"/>
        </w:rPr>
        <w:t>common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 progre</w:t>
      </w:r>
      <w:r w:rsidR="00A74D4F">
        <w:rPr>
          <w:rFonts w:ascii="Times New Roman" w:hAnsi="Times New Roman" w:cs="Times New Roman"/>
          <w:sz w:val="24"/>
          <w:szCs w:val="24"/>
          <w:lang w:val="en-US"/>
        </w:rPr>
        <w:t xml:space="preserve">ssive during patient follow-up 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11C1B">
        <w:rPr>
          <w:rFonts w:ascii="Times New Roman" w:hAnsi="Times New Roman" w:cs="Times New Roman"/>
          <w:sz w:val="24"/>
          <w:szCs w:val="24"/>
          <w:lang w:val="en-US"/>
        </w:rPr>
        <w:t>Scheiman</w:t>
      </w:r>
      <w:proofErr w:type="spellEnd"/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 et al, 2016, Van der </w:t>
      </w:r>
      <w:proofErr w:type="spellStart"/>
      <w:r w:rsidR="00811C1B">
        <w:rPr>
          <w:rFonts w:ascii="Times New Roman" w:hAnsi="Times New Roman" w:cs="Times New Roman"/>
          <w:sz w:val="24"/>
          <w:szCs w:val="24"/>
          <w:lang w:val="en-US"/>
        </w:rPr>
        <w:t>Bemt</w:t>
      </w:r>
      <w:proofErr w:type="spellEnd"/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 BJF et al, 2012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. Patients from Latin-America present unique and distinctive epidemiological, serological and clinical disease features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 compared with Caucasians (</w:t>
      </w:r>
      <w:proofErr w:type="spellStart"/>
      <w:r w:rsidR="00811C1B">
        <w:rPr>
          <w:rFonts w:ascii="Times New Roman" w:hAnsi="Times New Roman" w:cs="Times New Roman"/>
          <w:sz w:val="24"/>
          <w:szCs w:val="24"/>
          <w:lang w:val="en-US"/>
        </w:rPr>
        <w:t>Mody</w:t>
      </w:r>
      <w:proofErr w:type="spellEnd"/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 GM &amp; </w:t>
      </w:r>
      <w:proofErr w:type="spellStart"/>
      <w:r w:rsidR="00811C1B">
        <w:rPr>
          <w:rFonts w:ascii="Times New Roman" w:hAnsi="Times New Roman" w:cs="Times New Roman"/>
          <w:sz w:val="24"/>
          <w:szCs w:val="24"/>
          <w:lang w:val="en-US"/>
        </w:rPr>
        <w:t>Cardiel</w:t>
      </w:r>
      <w:proofErr w:type="spellEnd"/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 MH 2008, </w:t>
      </w:r>
      <w:r w:rsidR="00FE10DD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811C1B">
        <w:rPr>
          <w:rFonts w:ascii="Times New Roman" w:hAnsi="Times New Roman" w:cs="Times New Roman"/>
          <w:sz w:val="24"/>
          <w:szCs w:val="24"/>
          <w:lang w:val="en-US"/>
        </w:rPr>
        <w:t>, 2009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hese patients are frequently uninsured, have low socioeconomic status and are less educated than RA patients from developed countries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these factors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ultimately impact patient access to health care and commitment to prescribed treatment.   </w:t>
      </w:r>
    </w:p>
    <w:p w:rsidR="00F93D2E" w:rsidRDefault="005F0806" w:rsidP="005F0806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In 2004, we established an early arthritis clinic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patients with recent-onset RA. Once enrolled in the inception cohort, patient compliance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DMARDs was prospectively assessed. Poor 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was progressive during follow-up and was associated with an increased number of disease flares, decreased rates of remission, and worse physician- and patient-report</w:t>
      </w:r>
      <w:r w:rsidR="00A74D4F">
        <w:rPr>
          <w:rFonts w:ascii="Times New Roman" w:hAnsi="Times New Roman" w:cs="Times New Roman"/>
          <w:sz w:val="24"/>
          <w:szCs w:val="24"/>
          <w:lang w:val="en-US"/>
        </w:rPr>
        <w:t xml:space="preserve">ed outcomes 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10DD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, 2009, </w:t>
      </w:r>
      <w:r w:rsidR="00FE10DD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, 2010, </w:t>
      </w:r>
      <w:r w:rsidR="00FE10DD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811C1B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C was assessed initially through an interview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however,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from 2008 onward,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it was assessed using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22-item questionnaire (The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Concordance Questionnaire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[CQ], formerly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Compliance Questionnaire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which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evaluated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constructs adherence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</w:t>
      </w:r>
      <w:r w:rsidRPr="00C23D92" w:rsidDel="00B746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(A)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persistence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DMARDs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(P), and investigated patient motivations for non-P.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he CQ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demonstrated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high 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 xml:space="preserve">sensitivity and satisfactory specificity to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assess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with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DMARDs when compared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with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serum determination of methotrexate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levels 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="00FE10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Author</w:t>
      </w:r>
      <w:r w:rsidR="00504331" w:rsidRPr="0050433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2010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conjunction with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CQ, a </w:t>
      </w:r>
      <w:r w:rsidR="00735EEC">
        <w:rPr>
          <w:rFonts w:ascii="Times New Roman" w:hAnsi="Times New Roman" w:cs="Times New Roman"/>
          <w:bCs/>
          <w:sz w:val="24"/>
          <w:szCs w:val="24"/>
          <w:lang w:val="en-US"/>
        </w:rPr>
        <w:t>compliance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visual analogue scale (C-VAS) was constructed and administered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VAS ha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been widely and effectively used in psychological medicine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provide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simple technique for measuring subjective experience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behavio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ral</w:t>
      </w:r>
      <w:proofErr w:type="spellEnd"/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responses </w:t>
      </w:r>
      <w:r w:rsidR="002A647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504331" w:rsidRPr="0050433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McCormack HM </w:t>
      </w:r>
      <w:r w:rsidR="00A74D4F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  <w:r w:rsidR="002A647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 clinical practice, the simplest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method to assess</w:t>
      </w:r>
      <w:r w:rsidR="006046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medication compliance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frequently used and involves asking the patient whether he/she is taking the medication as prescribed. We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hypothesized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 a VAS </w:t>
      </w:r>
      <w:r w:rsidR="00604697">
        <w:rPr>
          <w:rFonts w:ascii="Times New Roman" w:hAnsi="Times New Roman" w:cs="Times New Roman"/>
          <w:bCs/>
          <w:sz w:val="24"/>
          <w:szCs w:val="24"/>
          <w:lang w:val="en-US"/>
        </w:rPr>
        <w:t>to assess compliance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would be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useful instrument in our population of patients, with the additional benefits of being easier to apply and score than a questionnaire,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despite its minimal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value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elucidating the </w:t>
      </w:r>
      <w:r w:rsidR="00604697">
        <w:rPr>
          <w:rFonts w:ascii="Times New Roman" w:hAnsi="Times New Roman" w:cs="Times New Roman"/>
          <w:bCs/>
          <w:sz w:val="24"/>
          <w:szCs w:val="24"/>
          <w:lang w:val="en-US"/>
        </w:rPr>
        <w:t>factors that impact compliance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These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factors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have been identified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intensively investigated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previous </w:t>
      </w:r>
      <w:r w:rsidR="00A74D4F">
        <w:rPr>
          <w:rFonts w:ascii="Times New Roman" w:hAnsi="Times New Roman" w:cs="Times New Roman"/>
          <w:bCs/>
          <w:sz w:val="24"/>
          <w:szCs w:val="24"/>
          <w:lang w:val="en-US"/>
        </w:rPr>
        <w:t>studies and</w:t>
      </w:r>
      <w:r w:rsidR="002A64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reviews (</w:t>
      </w:r>
      <w:r w:rsidR="00BC1E7F" w:rsidRPr="00BC1E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Van der </w:t>
      </w:r>
      <w:proofErr w:type="spellStart"/>
      <w:r w:rsidR="00BC1E7F" w:rsidRPr="00BC1E7F">
        <w:rPr>
          <w:rFonts w:ascii="Times New Roman" w:hAnsi="Times New Roman" w:cs="Times New Roman"/>
          <w:bCs/>
          <w:sz w:val="24"/>
          <w:szCs w:val="24"/>
          <w:lang w:val="en-US"/>
        </w:rPr>
        <w:t>Bemt</w:t>
      </w:r>
      <w:proofErr w:type="spellEnd"/>
      <w:r w:rsidR="00BC1E7F" w:rsidRPr="00BC1E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BJF</w:t>
      </w:r>
      <w:r w:rsidR="00BC1E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 al, 2012</w:t>
      </w:r>
      <w:r w:rsidR="002A647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hey can be grouped into domains as recommended by the World Health Organization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further classified as either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intentional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unintentional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’ – the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former reflect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patient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’s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ability and skill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with regard to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medicine taking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while the latter describes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patient </w:t>
      </w:r>
      <w:proofErr w:type="spellStart"/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behavio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proofErr w:type="spellEnd"/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driven by the decision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not to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take medic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ation</w:t>
      </w:r>
      <w:r w:rsidR="002A64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BC1E7F" w:rsidRPr="00BC1E7F">
        <w:rPr>
          <w:rFonts w:ascii="Times New Roman" w:hAnsi="Times New Roman" w:cs="Times New Roman"/>
          <w:bCs/>
          <w:sz w:val="24"/>
          <w:szCs w:val="24"/>
          <w:lang w:val="en-US"/>
        </w:rPr>
        <w:t>Jing J</w:t>
      </w:r>
      <w:r w:rsidR="00BC1E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 al, 2008, </w:t>
      </w:r>
      <w:proofErr w:type="spellStart"/>
      <w:r w:rsidR="00BC1E7F" w:rsidRPr="00BC1E7F">
        <w:rPr>
          <w:rFonts w:ascii="Times New Roman" w:hAnsi="Times New Roman" w:cs="Times New Roman"/>
          <w:bCs/>
          <w:sz w:val="24"/>
          <w:szCs w:val="24"/>
          <w:lang w:val="en-US"/>
        </w:rPr>
        <w:t>Lorish</w:t>
      </w:r>
      <w:proofErr w:type="spellEnd"/>
      <w:r w:rsidR="00BC1E7F" w:rsidRPr="00BC1E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CD</w:t>
      </w:r>
      <w:r w:rsidR="00BC1E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 al, 1989,</w:t>
      </w:r>
      <w:r w:rsidR="00BC1E7F" w:rsidRPr="00BC1E7F">
        <w:rPr>
          <w:lang w:val="en-US"/>
        </w:rPr>
        <w:t xml:space="preserve"> </w:t>
      </w:r>
      <w:r w:rsidR="00BC1E7F" w:rsidRPr="00BC1E7F">
        <w:rPr>
          <w:rFonts w:ascii="Times New Roman" w:hAnsi="Times New Roman" w:cs="Times New Roman"/>
          <w:bCs/>
          <w:sz w:val="24"/>
          <w:szCs w:val="24"/>
          <w:lang w:val="en-US"/>
        </w:rPr>
        <w:t>Clifford S</w:t>
      </w:r>
      <w:r w:rsidR="00BC1E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 al, 2008</w:t>
      </w:r>
      <w:r w:rsidR="002A647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rivers of this decision have been suggested to be based on patient beliefs about illness and treatment, which can be </w:t>
      </w:r>
      <w:proofErr w:type="gramStart"/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further</w:t>
      </w:r>
      <w:proofErr w:type="gramEnd"/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categorized as perceived b</w:t>
      </w:r>
      <w:r w:rsidR="00A74D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enefits </w:t>
      </w:r>
      <w:r w:rsidR="002A6479">
        <w:rPr>
          <w:rFonts w:ascii="Times New Roman" w:eastAsia="Calibri" w:hAnsi="Times New Roman" w:cs="Times New Roman"/>
          <w:sz w:val="24"/>
          <w:szCs w:val="24"/>
          <w:lang w:val="en-US"/>
        </w:rPr>
        <w:t>and perceived concerns (</w:t>
      </w:r>
      <w:r w:rsidR="00BC1E7F" w:rsidRPr="00BC1E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Van der </w:t>
      </w:r>
      <w:proofErr w:type="spellStart"/>
      <w:r w:rsidR="00BC1E7F" w:rsidRPr="00BC1E7F">
        <w:rPr>
          <w:rFonts w:ascii="Times New Roman" w:eastAsia="Calibri" w:hAnsi="Times New Roman" w:cs="Times New Roman"/>
          <w:sz w:val="24"/>
          <w:szCs w:val="24"/>
          <w:lang w:val="en-US"/>
        </w:rPr>
        <w:t>Bemt</w:t>
      </w:r>
      <w:proofErr w:type="spellEnd"/>
      <w:r w:rsidR="00BC1E7F" w:rsidRPr="00BC1E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BJF et al, 2012</w:t>
      </w:r>
      <w:r w:rsidR="002A647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practical implication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this conceptual classification of motivation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(s)</w:t>
      </w:r>
      <w:r w:rsidR="006046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non-compliance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that subjectively attributed motivation(s)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patient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dependent v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ersus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patient independent) may impact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self-reported</w:t>
      </w:r>
      <w:r w:rsidR="006046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evaluation of compliance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the present study, we hypothesized </w:t>
      </w:r>
      <w:proofErr w:type="gramStart"/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that non-P patients</w:t>
      </w:r>
      <w:proofErr w:type="gramEnd"/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who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reported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independent motivation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their lack of P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would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score themselves more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compliant than those who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reported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dependent motivation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Accordingly,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bjectives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study were: 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1. To examine </w:t>
      </w:r>
      <w:r w:rsidR="004501C2">
        <w:rPr>
          <w:rFonts w:ascii="Times New Roman" w:hAnsi="Times New Roman" w:cs="Times New Roman"/>
          <w:sz w:val="24"/>
          <w:szCs w:val="24"/>
          <w:lang w:val="en-US"/>
        </w:rPr>
        <w:t>the correlation between compliance</w:t>
      </w:r>
      <w:r w:rsidRPr="003D133C">
        <w:rPr>
          <w:rFonts w:ascii="Times New Roman" w:hAnsi="Times New Roman" w:cs="Times New Roman"/>
          <w:sz w:val="24"/>
          <w:szCs w:val="24"/>
          <w:lang w:val="en-US"/>
        </w:rPr>
        <w:t xml:space="preserve"> assessed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according to the CQ and </w:t>
      </w:r>
      <w:r w:rsidR="004501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VAS.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2. To identify the </w:t>
      </w:r>
      <w:r>
        <w:rPr>
          <w:rFonts w:ascii="Times New Roman" w:hAnsi="Times New Roman" w:cs="Times New Roman"/>
          <w:sz w:val="24"/>
          <w:szCs w:val="24"/>
          <w:lang w:val="en-US"/>
        </w:rPr>
        <w:t>optimal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C-VAS cut-off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score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to predict CQ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compliance.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To investigate </w:t>
      </w:r>
      <w:r>
        <w:rPr>
          <w:rFonts w:ascii="Times New Roman" w:hAnsi="Times New Roman" w:cs="Times New Roman"/>
          <w:sz w:val="24"/>
          <w:szCs w:val="24"/>
          <w:lang w:val="en-US"/>
        </w:rPr>
        <w:t>whether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the selection of patient-independent motivation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for non-P predicted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better </w:t>
      </w:r>
      <w:r w:rsidR="004501C2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3F0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F0806" w:rsidRPr="00C23D92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3F061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.1 </w:t>
      </w:r>
      <w:r w:rsidR="005F0806" w:rsidRPr="00C23D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Setting and study population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The </w:t>
      </w:r>
      <w:proofErr w:type="spellStart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Instituto</w:t>
      </w:r>
      <w:proofErr w:type="spellEnd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Nacional de </w:t>
      </w:r>
      <w:proofErr w:type="spellStart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Ciencias</w:t>
      </w:r>
      <w:proofErr w:type="spellEnd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Médicas</w:t>
      </w:r>
      <w:proofErr w:type="spellEnd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y </w:t>
      </w:r>
      <w:proofErr w:type="spellStart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Nutrición</w:t>
      </w:r>
      <w:proofErr w:type="spellEnd"/>
      <w:r w:rsidRPr="00C23D9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Salvador Zubirán 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belongs to the National Institutes of Health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México. Patients attending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nstitution have variable government health coverage that includes medical consultations, hospitalizations, emergency room and critical care unit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admission(s)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laboratory and all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available 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diagnostic procedures. Patients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are required 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 pay for their medication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which is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not provided by the local pharmacy.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</w:t>
      </w:r>
      <w:r w:rsidR="003F061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.2 </w:t>
      </w:r>
      <w:r w:rsidR="00604697" w:rsidRPr="0060469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The Early Arthritis Clinic</w:t>
      </w:r>
    </w:p>
    <w:p w:rsidR="005F0806" w:rsidRDefault="00604697" w:rsidP="005F0806">
      <w:pPr>
        <w:spacing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Patients attending the clinic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had a disease duration &lt;1 year when 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initially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evaluated and no specific rheumatic diagnosis except for RA. Rheumatic evaluations were schedule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at variable intervals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; however,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all patients 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underwent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fixed 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six-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month assessments. Treatment was prescribed by the rheumatologist in charge of the clinic and was 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‘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Treat to 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arget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’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oriented. Traditional DMARDs were used in 99% of the patients with/without 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>corticosteroids (50% of the patients received low doses of oral corticosteroids during their follow-up). Up to January 2016, the cohort comprised 180 patients with variable follow-up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F080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who were </w:t>
      </w:r>
      <w:r w:rsidR="005F0806"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recruited from 2004 onward.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</w:t>
      </w:r>
      <w:r w:rsidR="003F061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.3 </w:t>
      </w:r>
      <w:r w:rsidR="005F0806" w:rsidRPr="00C23D9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Standard rheumatic evaluations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At cohort inclusion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all patients had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their 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complete medical history and demographic data recorded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and class and levels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of disease-specific autoantibodies were determined. Standardized rheumatic assessments included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at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minimum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counts of swollen and tender joints, acute reactant-phase determinations, patient- and physician-reported outcomes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and treatment assessments (name[s], dose[s] and schedule[s] of all drug[s] they were taking since last visit). 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</w:t>
      </w:r>
      <w:r w:rsidR="003F061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.4 </w:t>
      </w:r>
      <w:r w:rsidR="004501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Evaluation of compliance</w:t>
      </w:r>
      <w:r w:rsidR="005F0806" w:rsidRPr="00C23D9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with DMARD</w:t>
      </w:r>
      <w:r w:rsidR="005F080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</w:t>
      </w:r>
    </w:p>
    <w:p w:rsidR="004501C2" w:rsidRPr="00C23D92" w:rsidRDefault="004501C2" w:rsidP="004501C2">
      <w:pPr>
        <w:spacing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From the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inception of the Early Arthritis Clinic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patient medication </w:t>
      </w:r>
      <w:proofErr w:type="spellStart"/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behavio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</w:t>
      </w:r>
      <w:proofErr w:type="spellEnd"/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was prospectively assessed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ince 2008, the CQ and a 100 mm C-VAS were conc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urrently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applied at regular six-month intervals (fixed for all patients).</w:t>
      </w:r>
    </w:p>
    <w:p w:rsidR="004501C2" w:rsidRPr="00C23D92" w:rsidRDefault="004501C2" w:rsidP="004501C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Briefly, the </w:t>
      </w:r>
      <w:r w:rsidRPr="00344E3F">
        <w:rPr>
          <w:rFonts w:ascii="Times New Roman" w:eastAsia="Calibri" w:hAnsi="Times New Roman" w:cs="Times New Roman"/>
          <w:sz w:val="24"/>
          <w:szCs w:val="24"/>
          <w:lang w:val="en-US"/>
        </w:rPr>
        <w:t>CQ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a 22-item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questionnaire (</w:t>
      </w:r>
      <w:r w:rsidRPr="00C23D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Appendix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that primarily evaluates both A and P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DMARDs; items 12 and 14 correspond to the first construct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while item 10 corresponds to the second construct. In all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three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items, patients use a Likert scale. Those who score item 10 as 1, 2, 3 or 4 are directed to answer item 11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meanwhile those who score it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 are directed to proceed to item 12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 I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tem 11 investigates patient reasons/motivations for non-P and includes 15 predefined answers (most of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which were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obtained from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literature review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501C2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4501C2">
        <w:rPr>
          <w:rFonts w:ascii="Times New Roman" w:eastAsia="Calibri" w:hAnsi="Times New Roman" w:cs="Times New Roman"/>
          <w:sz w:val="24"/>
          <w:szCs w:val="24"/>
          <w:lang w:val="en-US"/>
        </w:rPr>
        <w:t>Neame</w:t>
      </w:r>
      <w:proofErr w:type="spellEnd"/>
      <w:r w:rsidRPr="004501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 &amp; Hammond A, 2005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) and one open answer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nly patients who defined themselves as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‘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non-P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directed to select at least one of the 15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pre-defined motivation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he CQ has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demonstrated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high sensitivity and satisfactory specificity to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assess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on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DMARDs (</w:t>
      </w:r>
      <w:r w:rsidRPr="004501C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Author, 2010</w:t>
      </w:r>
      <w:r w:rsidRPr="00C23D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4501C2" w:rsidRPr="00C23D92" w:rsidRDefault="004501C2" w:rsidP="004501C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C-VAS is a 100 mm VAS,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in which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 indicates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‘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very good compliance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100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‘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very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poor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compliance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Patients score it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by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follow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ing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instruction: “Put a mark on the line that better reflects the way you have taken your RA medication during the past six months; consider the indication given by your rheumatologist”. The C-VAS was constructed following the steps recommended by Scot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 et al (</w:t>
      </w:r>
      <w:r w:rsidRPr="004501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Scott J &amp; </w:t>
      </w:r>
      <w:proofErr w:type="spellStart"/>
      <w:r w:rsidRPr="004501C2">
        <w:rPr>
          <w:rFonts w:ascii="Times New Roman" w:eastAsia="Calibri" w:hAnsi="Times New Roman" w:cs="Times New Roman"/>
          <w:sz w:val="24"/>
          <w:szCs w:val="24"/>
          <w:lang w:val="en-US"/>
        </w:rPr>
        <w:t>Huskinsson</w:t>
      </w:r>
      <w:proofErr w:type="spellEnd"/>
      <w:r w:rsidRPr="004501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EC, 1976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5F0806" w:rsidRPr="00C23D92" w:rsidRDefault="005F0806" w:rsidP="004501C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3F061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.5 </w:t>
      </w:r>
      <w:r w:rsidR="005F0806" w:rsidRPr="00C23D9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Definitions 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A patient was considered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be</w:t>
      </w:r>
      <w:r w:rsidR="00735E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compliance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according to the CQ (C-CQ) if A </w:t>
      </w:r>
      <w:r w:rsidRPr="00C23D9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and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P. 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Adherence was defined when a patient selected box 3 (“Almost always”) or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box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4 (“Always”) from items 10 (“In the past 2 months, I took my medication exactly at the day/s indicated by my rheumatologist”), 11 (“In the past 2 months, I took my medication exactly at the day-times indicated by my rheumatologist”) and 12 (“In the past 2 months, every time I took my medication, I took the precise amount of tablets indicated by my rheumatologist”). P was defined when a patient selected boxes 0 (“Never”) or 1 (“Almost never</w:t>
      </w:r>
      <w:r w:rsidR="003915F6">
        <w:rPr>
          <w:rFonts w:ascii="Times New Roman" w:eastAsia="Calibri" w:hAnsi="Times New Roman" w:cs="Times New Roman"/>
          <w:sz w:val="24"/>
          <w:szCs w:val="24"/>
          <w:lang w:val="en-US"/>
        </w:rPr>
        <w:t>”) from item 8 (“In the past 6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months, how often did you completely stop taking your medication?”).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3F061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.6 </w:t>
      </w:r>
      <w:r w:rsidR="005F0806" w:rsidRPr="00C23D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Ethics approval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The present study was approved by the institution’s internal review board. Written informed consent was obtained to have patient charts reviewed, and data presented in scientific forums or published.</w:t>
      </w:r>
    </w:p>
    <w:p w:rsidR="005F0806" w:rsidRPr="00C23D92" w:rsidRDefault="00230258" w:rsidP="005F0806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3F061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.7 </w:t>
      </w:r>
      <w:r w:rsidR="005F0806" w:rsidRPr="00C23D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Statistics</w:t>
      </w:r>
    </w:p>
    <w:p w:rsidR="003915F6" w:rsidRPr="00C23D92" w:rsidRDefault="003915F6" w:rsidP="003915F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Descriptive statistics as well as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Student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 </w:t>
      </w:r>
      <w:r w:rsidRPr="00C23D9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chi-squared tests were used when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appropriate. </w:t>
      </w:r>
      <w:proofErr w:type="spellStart"/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Sociodemographic</w:t>
      </w:r>
      <w:proofErr w:type="spellEnd"/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 were presented as mean ± SD, while disease and treatment characteristics were described as median and interquartile range (Q</w:t>
      </w:r>
      <w:r w:rsidRPr="00C23D92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25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-Q</w:t>
      </w:r>
      <w:r w:rsidRPr="00C23D92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75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). Spearman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’s rho was used to correlate compliance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defined as per CQ and as per VAS. Receiver operating characteristic curves were plotted to determine the optimal C-VAS cut-off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score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 predict CQ-compliance. </w:t>
      </w:r>
    </w:p>
    <w:p w:rsidR="003915F6" w:rsidRPr="00C23D92" w:rsidRDefault="003915F6" w:rsidP="003915F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Each CQ with non-P was classified into one of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three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categories depending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 whether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patient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s motivation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selecting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non-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 were: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exclusively patient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dependent (category 1)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exclusively patient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independent (category 2)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combin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ation thereof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(category 3). </w:t>
      </w:r>
    </w:p>
    <w:p w:rsidR="003915F6" w:rsidRPr="00C23D92" w:rsidRDefault="003915F6" w:rsidP="003915F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Previously, each of the 15 predefined motivations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non-P was classified as patient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dependent or patient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indepen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dent by 50 patients from the clinic who were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randomly selected and directly interviewed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such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purpose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ach motivation was finally assigned to one of the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two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categories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patient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dependent v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ersus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independent) when there was ≥70% agreement among the patients interviewed (</w:t>
      </w:r>
      <w:r w:rsidRPr="00C23D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Table 1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AF6459" w:rsidRDefault="00AF6459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proofErr w:type="gramEnd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Percentage of patients who agree to classify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each 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motivation as either patient-dependent or patient-independent.</w:t>
      </w:r>
      <w:proofErr w:type="gramEnd"/>
    </w:p>
    <w:tbl>
      <w:tblPr>
        <w:tblStyle w:val="Tablaconcuadrcula"/>
        <w:tblW w:w="10774" w:type="dxa"/>
        <w:tblInd w:w="-6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410"/>
        <w:gridCol w:w="2552"/>
      </w:tblGrid>
      <w:tr w:rsidR="00AF6459" w:rsidRPr="004501C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F6459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MOTIVATIONS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% of patients who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classified</w:t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motivation as patient-dependent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of patients who classified the</w:t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motivation as patient-independent</w:t>
            </w: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Because I had no money to buy it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Because it was not available at the drugstore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it does not make me feel better</w:t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it may me feel worse when I take it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the medication is very expensive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 forget to take it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nothing happens if I do not take it</w:t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 am taking a lot of medication at this time</w:t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 had to do more things than I usually do through the day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 did fewer things than I usually do through the day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nobody reminded me to take my medication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Because timing/s when my medication 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prescribed is different from </w:t>
            </w: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mealtime/s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 was not at home when I had to take my medication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 did not buy it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459" w:rsidRPr="00C23D92" w:rsidTr="0024352F">
        <w:tc>
          <w:tcPr>
            <w:tcW w:w="5812" w:type="dxa"/>
            <w:tcBorders>
              <w:top w:val="single" w:sz="4" w:space="0" w:color="auto"/>
            </w:tcBorders>
          </w:tcPr>
          <w:p w:rsidR="00AF6459" w:rsidRPr="00C23D92" w:rsidRDefault="00AF6459" w:rsidP="0024352F">
            <w:pPr>
              <w:spacing w:after="20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Because I went out on a trip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F6459" w:rsidRPr="005A22C7" w:rsidRDefault="00AF6459" w:rsidP="0024352F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F6459" w:rsidRPr="00C23D92" w:rsidRDefault="00AF6459" w:rsidP="005F080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915F6" w:rsidRPr="00C23D92" w:rsidRDefault="003915F6" w:rsidP="003915F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Linear regression and logistic regression analysis were used to investigate the impact of patient-independent motivation for non-P on the C-VAS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score and the CQ score, and on compliance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according to the VAS and the CQ, respectively. </w:t>
      </w:r>
    </w:p>
    <w:p w:rsidR="003915F6" w:rsidRPr="00C23D92" w:rsidRDefault="003915F6" w:rsidP="003915F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All statistical tests were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two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>-sided and evaluated at the 0.05 significance level. Statistical analysis was performed using SPSS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version 17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IBM Corporation, USA)</w:t>
      </w:r>
      <w:r w:rsidRPr="00C23D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5F0806" w:rsidRPr="00230258" w:rsidRDefault="005F0806" w:rsidP="00230258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0258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F0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.1 </w:t>
      </w:r>
      <w:r w:rsidR="005F0806" w:rsidRPr="00C23D92">
        <w:rPr>
          <w:rFonts w:ascii="Times New Roman" w:hAnsi="Times New Roman" w:cs="Times New Roman"/>
          <w:b/>
          <w:sz w:val="24"/>
          <w:szCs w:val="24"/>
          <w:lang w:val="en-US"/>
        </w:rPr>
        <w:t>Characteristics of the study population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To January 2016, charts from 180 patients with early RA and at least </w:t>
      </w:r>
      <w:r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months of follow-up were reviewed (the first evaluation of 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was scheduled at six-months)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, 17 were lost to follow-up before 2008 when CQ and C-VAS were added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standard evaluations, and </w:t>
      </w:r>
      <w:r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additional patients had incomplete evaluation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 xml:space="preserve"> of 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. The final number of patients for which data were analyzed was 160.  At inclusion in the cohort, patients were primarily middle-age ([mean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SD] age 38.3±1.3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years) female (144 [90%]), with 11.1±3.9 years of formal education, short disease duration (5.4±2.6 months) and high disease activity (Disease Activity Score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28 joints</w:t>
      </w:r>
      <w:r>
        <w:rPr>
          <w:rFonts w:ascii="Times New Roman" w:hAnsi="Times New Roman" w:cs="Times New Roman"/>
          <w:sz w:val="24"/>
          <w:szCs w:val="24"/>
          <w:lang w:val="en-US"/>
        </w:rPr>
        <w:t>], DAS28: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5.9±1.4).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patients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frequently had disease-specific autoantibodies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137 (85.6%) had rheumatoid factor and 141 (88.1%) had antibodies to cyclic citrullinated peptides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Almost one-half (49%)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patients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were receiving DMARDs and had at least one comorbid condition (48%)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 32.4% were taking low doses of oral corticosteroids.      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To January 2016, the mean length of follow-up in the cohort was 6.7±3.4 years, during which patients completed 1516 pairs of CQ and C-VAS;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mean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sz w:val="24"/>
          <w:szCs w:val="24"/>
          <w:lang w:val="en-US"/>
        </w:rPr>
        <w:t>of paired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assessments/patient was 8.2±4.1.  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F0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.2 </w:t>
      </w:r>
      <w:r w:rsidR="005F0806" w:rsidRPr="00C23D92">
        <w:rPr>
          <w:rFonts w:ascii="Times New Roman" w:hAnsi="Times New Roman" w:cs="Times New Roman"/>
          <w:b/>
          <w:sz w:val="24"/>
          <w:szCs w:val="24"/>
          <w:lang w:val="en-US"/>
        </w:rPr>
        <w:t>Correlation between the CQ and C-VAS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The C-VAS significantly correlated with the CQ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r=0.468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p=0.001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as assessed per questionnaire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 imputed i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nto the constructs of A and P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C-VAS had a higher correlation with P (r=0.412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p≤0.0001) than with A (r=0.305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p≤0.0001).</w:t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F0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.3 </w:t>
      </w:r>
      <w:r w:rsidR="005F08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Optimal </w:t>
      </w:r>
      <w:r w:rsidR="005F0806"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C-VAS cut-off </w:t>
      </w:r>
      <w:r w:rsidR="005F08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values </w:t>
      </w:r>
      <w:r w:rsidR="003915F6">
        <w:rPr>
          <w:rFonts w:ascii="Times New Roman" w:hAnsi="Times New Roman" w:cs="Times New Roman"/>
          <w:b/>
          <w:sz w:val="24"/>
          <w:szCs w:val="24"/>
          <w:lang w:val="en-US"/>
        </w:rPr>
        <w:t>to predict compliance</w:t>
      </w:r>
    </w:p>
    <w:p w:rsidR="005F0806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>Sensitivity, specificity, positive predictive value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negative predictive value, </w:t>
      </w:r>
      <w:r>
        <w:rPr>
          <w:rFonts w:ascii="Times New Roman" w:hAnsi="Times New Roman" w:cs="Times New Roman"/>
          <w:sz w:val="24"/>
          <w:szCs w:val="24"/>
          <w:lang w:val="en-US"/>
        </w:rPr>
        <w:t>area under the curve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 95% confidence inter</w:t>
      </w:r>
      <w:r w:rsidR="003915F6">
        <w:rPr>
          <w:rFonts w:ascii="Times New Roman" w:hAnsi="Times New Roman" w:cs="Times New Roman"/>
          <w:sz w:val="24"/>
          <w:szCs w:val="24"/>
          <w:lang w:val="en-US"/>
        </w:rPr>
        <w:t>val (CI) of C-VAS for P, A and 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(defined as per questionnaire) are summarized in 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 Cut-off values of C-VAS to predict P and A </w:t>
      </w:r>
      <w:proofErr w:type="gramStart"/>
      <w:r w:rsidRPr="00C23D92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6.5 mm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each,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respectively, </w:t>
      </w:r>
      <w:r w:rsidR="003915F6">
        <w:rPr>
          <w:rFonts w:ascii="Times New Roman" w:hAnsi="Times New Roman" w:cs="Times New Roman"/>
          <w:sz w:val="24"/>
          <w:szCs w:val="24"/>
          <w:lang w:val="en-US"/>
        </w:rPr>
        <w:t>and to predict 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was 7.5 mm (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Figure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F6459" w:rsidRDefault="00AF6459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Table 2.</w:t>
      </w:r>
      <w:proofErr w:type="gramEnd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Utility 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of C-VAS for CQ-persistence, CQ-adherence and CQ-compliance.</w:t>
      </w:r>
      <w:proofErr w:type="gramEnd"/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AF6459" w:rsidRPr="00C23D92" w:rsidTr="0024352F"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CQ-persistence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CQ-adherence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CQ-compliance</w:t>
            </w:r>
          </w:p>
        </w:tc>
      </w:tr>
      <w:tr w:rsidR="00AF6459" w:rsidRPr="00C23D92" w:rsidTr="0024352F"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Sensitivity</w:t>
            </w:r>
          </w:p>
        </w:tc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0.649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0.483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0.473</w:t>
            </w:r>
          </w:p>
        </w:tc>
      </w:tr>
      <w:tr w:rsidR="00AF6459" w:rsidRPr="00C23D92" w:rsidTr="0024352F"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Specificity</w:t>
            </w:r>
          </w:p>
        </w:tc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0.852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0.806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0.885</w:t>
            </w:r>
          </w:p>
        </w:tc>
      </w:tr>
      <w:tr w:rsidR="00AF6459" w:rsidRPr="00C23D92" w:rsidTr="0024352F"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PPV</w:t>
            </w:r>
          </w:p>
        </w:tc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0.429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0.211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0.519</w:t>
            </w:r>
          </w:p>
        </w:tc>
      </w:tr>
      <w:tr w:rsidR="00AF6459" w:rsidRPr="00C23D92" w:rsidTr="0024352F"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NPV</w:t>
            </w:r>
          </w:p>
        </w:tc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0.066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0.064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0.135</w:t>
            </w:r>
          </w:p>
        </w:tc>
      </w:tr>
      <w:tr w:rsidR="00AF6459" w:rsidRPr="00C23D92" w:rsidTr="0024352F"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AUC</w:t>
            </w:r>
          </w:p>
        </w:tc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0.810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0.683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0.731</w:t>
            </w:r>
          </w:p>
        </w:tc>
      </w:tr>
      <w:tr w:rsidR="00AF6459" w:rsidRPr="00C23D92" w:rsidTr="0024352F"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2244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0.776-0.844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0.633-0.733</w:t>
            </w:r>
          </w:p>
        </w:tc>
        <w:tc>
          <w:tcPr>
            <w:tcW w:w="2245" w:type="dxa"/>
          </w:tcPr>
          <w:p w:rsidR="00AF6459" w:rsidRPr="00C23D92" w:rsidRDefault="00AF6459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0.697-0.764</w:t>
            </w:r>
          </w:p>
        </w:tc>
      </w:tr>
    </w:tbl>
    <w:p w:rsidR="00AF6459" w:rsidRDefault="00AF6459" w:rsidP="00AF645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PPV=</w:t>
      </w:r>
      <w:r w:rsidRPr="003640CE">
        <w:rPr>
          <w:rFonts w:ascii="Times New Roman" w:hAnsi="Times New Roman" w:cs="Times New Roman"/>
          <w:sz w:val="24"/>
          <w:szCs w:val="24"/>
          <w:lang w:val="en-US"/>
        </w:rPr>
        <w:t>positive predictive value</w:t>
      </w:r>
    </w:p>
    <w:p w:rsidR="00AF6459" w:rsidRDefault="00AF6459" w:rsidP="00AF645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NPV</w:t>
      </w:r>
      <w:r>
        <w:rPr>
          <w:lang w:val="en-US"/>
        </w:rPr>
        <w:t>=</w:t>
      </w:r>
      <w:r w:rsidRPr="003640CE">
        <w:rPr>
          <w:rFonts w:ascii="Times New Roman" w:hAnsi="Times New Roman" w:cs="Times New Roman"/>
          <w:sz w:val="24"/>
          <w:szCs w:val="24"/>
          <w:lang w:val="en-US"/>
        </w:rPr>
        <w:t>negative predictive value</w:t>
      </w:r>
    </w:p>
    <w:p w:rsidR="00AF6459" w:rsidRDefault="00AF6459" w:rsidP="00AF645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AUC=</w:t>
      </w:r>
      <w:r w:rsidRPr="003640CE">
        <w:rPr>
          <w:rFonts w:ascii="Times New Roman" w:hAnsi="Times New Roman" w:cs="Times New Roman"/>
          <w:sz w:val="24"/>
          <w:szCs w:val="24"/>
          <w:lang w:val="en-US"/>
        </w:rPr>
        <w:t>area under curve</w:t>
      </w:r>
    </w:p>
    <w:p w:rsidR="00AF6459" w:rsidRDefault="00AF6459" w:rsidP="00AF645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CI=</w:t>
      </w:r>
      <w:r w:rsidRPr="003640CE">
        <w:rPr>
          <w:rFonts w:ascii="Times New Roman" w:hAnsi="Times New Roman" w:cs="Times New Roman"/>
          <w:sz w:val="24"/>
          <w:szCs w:val="24"/>
          <w:lang w:val="en-US"/>
        </w:rPr>
        <w:t>confidence interval</w:t>
      </w:r>
    </w:p>
    <w:p w:rsidR="00FC60AC" w:rsidRDefault="00FC60AC" w:rsidP="00AF645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60AC" w:rsidRPr="00C23D92" w:rsidRDefault="00FC60AC" w:rsidP="00AF645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60AC">
        <w:rPr>
          <w:rFonts w:ascii="Times New Roman" w:hAnsi="Times New Roman" w:cs="Times New Roman"/>
          <w:b/>
          <w:sz w:val="24"/>
          <w:szCs w:val="24"/>
          <w:lang w:val="en-US"/>
        </w:rPr>
        <w:t>ROC to define optimal C-VAS cut-off value to predict CQ-compliance</w:t>
      </w:r>
    </w:p>
    <w:p w:rsidR="00AF6459" w:rsidRDefault="00AF6459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5610225" cy="4343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806" w:rsidRPr="00C23D92" w:rsidRDefault="00230258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F0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.4 </w:t>
      </w:r>
      <w:r w:rsidR="005F0806" w:rsidRPr="00C23D92">
        <w:rPr>
          <w:rFonts w:ascii="Times New Roman" w:hAnsi="Times New Roman" w:cs="Times New Roman"/>
          <w:b/>
          <w:sz w:val="24"/>
          <w:szCs w:val="24"/>
          <w:lang w:val="en-US"/>
        </w:rPr>
        <w:t>Impact of patien</w:t>
      </w:r>
      <w:r w:rsidR="005F0806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5F0806"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motivation for non-P on </w:t>
      </w:r>
      <w:r w:rsidR="005F08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self-reported </w:t>
      </w:r>
      <w:r w:rsidR="005F0806"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compliance </w:t>
      </w:r>
      <w:r w:rsidR="005F0806">
        <w:rPr>
          <w:rFonts w:ascii="Times New Roman" w:hAnsi="Times New Roman" w:cs="Times New Roman"/>
          <w:b/>
          <w:sz w:val="24"/>
          <w:szCs w:val="24"/>
          <w:lang w:val="en-US"/>
        </w:rPr>
        <w:t>score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For this analysis, 670 CQs scored as non-P were identified during the entire follow-up, among whom 654 had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at least one motivation for non-P; the remaining CQs were discarded for this analysis.  All CQs included had a corresponding C-VAS </w:t>
      </w:r>
      <w:r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F0806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>There were 549 (70.2%) CQs belonging to category 1 (non-P patients who selected only patient-independent motivations), 31 (4.7%) to category 2 (non-P patients who selected only patient-dependent motivations) and the remaining 164 CQs (25.1%) belonged to category 3 (non-P patients who selected both motivations). Non-P patients with category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CQ had worse C-VAS scores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higher values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0 to 100 mm scale) than non-P patients with category 2-CQ, who additionally scored worse than non-P with category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CQ, as summarized in 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Table 3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umber of motivations selected per CQ was also greater in category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CQ than in either category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or category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CQ.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0AC" w:rsidRDefault="00FC60AC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Table 3.</w:t>
      </w:r>
      <w:proofErr w:type="gramEnd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C-VAS score and number of selected motivations according to CQ-category</w:t>
      </w:r>
    </w:p>
    <w:tbl>
      <w:tblPr>
        <w:tblStyle w:val="Tablaconcuadrcula"/>
        <w:tblW w:w="98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693"/>
      </w:tblGrid>
      <w:tr w:rsidR="00FC60AC" w:rsidRPr="004501C2" w:rsidTr="0024352F">
        <w:tc>
          <w:tcPr>
            <w:tcW w:w="4644" w:type="dxa"/>
          </w:tcPr>
          <w:p w:rsidR="00FC60AC" w:rsidRPr="00C23D92" w:rsidRDefault="00FC60AC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C60AC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C-VAS (0 to 100 mm)</w:t>
            </w:r>
          </w:p>
        </w:tc>
        <w:tc>
          <w:tcPr>
            <w:tcW w:w="2693" w:type="dxa"/>
          </w:tcPr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N° of selected motivations/CQ</w:t>
            </w:r>
          </w:p>
        </w:tc>
      </w:tr>
      <w:tr w:rsidR="00FC60AC" w:rsidRPr="00C23D92" w:rsidTr="0024352F">
        <w:tc>
          <w:tcPr>
            <w:tcW w:w="4644" w:type="dxa"/>
          </w:tcPr>
          <w:p w:rsidR="00FC60AC" w:rsidRPr="00C23D92" w:rsidRDefault="00FC60AC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Non-P CQ with only patient-independent motivations (N=459), (Category 1)</w:t>
            </w:r>
          </w:p>
        </w:tc>
        <w:tc>
          <w:tcPr>
            <w:tcW w:w="2552" w:type="dxa"/>
          </w:tcPr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(1-5)¹</w:t>
            </w:r>
          </w:p>
        </w:tc>
        <w:tc>
          <w:tcPr>
            <w:tcW w:w="2693" w:type="dxa"/>
          </w:tcPr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(1-2)¹</w:t>
            </w:r>
          </w:p>
        </w:tc>
      </w:tr>
      <w:tr w:rsidR="00FC60AC" w:rsidRPr="00C23D92" w:rsidTr="0024352F">
        <w:tc>
          <w:tcPr>
            <w:tcW w:w="4644" w:type="dxa"/>
          </w:tcPr>
          <w:p w:rsidR="00FC60AC" w:rsidRPr="00C23D92" w:rsidRDefault="00FC60AC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Non-P CQ with only patient-dependent motivations (N=31), (Category 2)</w:t>
            </w:r>
          </w:p>
        </w:tc>
        <w:tc>
          <w:tcPr>
            <w:tcW w:w="2552" w:type="dxa"/>
          </w:tcPr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(10-26)²</w:t>
            </w:r>
          </w:p>
        </w:tc>
        <w:tc>
          <w:tcPr>
            <w:tcW w:w="2693" w:type="dxa"/>
          </w:tcPr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(1-2)²</w:t>
            </w:r>
          </w:p>
        </w:tc>
      </w:tr>
      <w:tr w:rsidR="00FC60AC" w:rsidRPr="00C23D92" w:rsidTr="0024352F">
        <w:tc>
          <w:tcPr>
            <w:tcW w:w="4644" w:type="dxa"/>
          </w:tcPr>
          <w:p w:rsidR="00FC60AC" w:rsidRPr="00C23D92" w:rsidRDefault="00FC60AC" w:rsidP="002435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Non-P CQ with combined motivations (N=164), (Category 3)</w:t>
            </w:r>
          </w:p>
        </w:tc>
        <w:tc>
          <w:tcPr>
            <w:tcW w:w="2552" w:type="dxa"/>
          </w:tcPr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(11-44)</w:t>
            </w:r>
          </w:p>
        </w:tc>
        <w:tc>
          <w:tcPr>
            <w:tcW w:w="2693" w:type="dxa"/>
          </w:tcPr>
          <w:p w:rsidR="00FC60AC" w:rsidRPr="00C23D92" w:rsidRDefault="00FC60AC" w:rsidP="002435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(3-5)</w:t>
            </w:r>
          </w:p>
        </w:tc>
      </w:tr>
    </w:tbl>
    <w:p w:rsidR="00FC60AC" w:rsidRDefault="00FC60AC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0AC" w:rsidRPr="00C23D92" w:rsidRDefault="00FC60AC" w:rsidP="00FC60AC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Data presented as median (Q</w:t>
      </w:r>
      <w:r w:rsidRPr="00C23D9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25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-Q</w:t>
      </w:r>
      <w:r w:rsidRPr="00C23D9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75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C60AC" w:rsidRPr="00C23D92" w:rsidRDefault="00FC60AC" w:rsidP="00FC60AC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¹ p≤0.001 for category 1 vs. category 2 and vs. category 3.</w:t>
      </w:r>
      <w:proofErr w:type="gramEnd"/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C60AC" w:rsidRPr="00C23D92" w:rsidRDefault="00FC60AC" w:rsidP="00FC60AC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²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p=0.04 for category 2 vs. 3</w:t>
      </w:r>
    </w:p>
    <w:p w:rsidR="00FC60AC" w:rsidRPr="00C23D92" w:rsidRDefault="00FC60AC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806" w:rsidRPr="00C23D92" w:rsidRDefault="003915F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he selection of exclusively independent motivations for non-P predicted C-VAS score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ß -0.15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95%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CI -19.2 to -6.8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]; 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p≤0.001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(number of selected motivations was controlled). </w:t>
      </w:r>
      <w:r w:rsidR="005F0806" w:rsidRPr="00835994">
        <w:rPr>
          <w:rFonts w:ascii="Times New Roman" w:hAnsi="Times New Roman" w:cs="Times New Roman"/>
          <w:sz w:val="24"/>
          <w:szCs w:val="24"/>
          <w:lang w:val="en-US"/>
        </w:rPr>
        <w:t xml:space="preserve">Also,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compliance as per </w:t>
      </w:r>
      <w:r w:rsidR="005F0806" w:rsidRPr="00835994">
        <w:rPr>
          <w:rFonts w:ascii="Times New Roman" w:hAnsi="Times New Roman" w:cs="Times New Roman"/>
          <w:sz w:val="24"/>
          <w:szCs w:val="24"/>
          <w:lang w:val="en-US"/>
        </w:rPr>
        <w:t>VAS was defined a</w:t>
      </w:r>
      <w:r w:rsidR="005F0806" w:rsidRPr="00344E3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F0806" w:rsidRPr="00835994">
        <w:rPr>
          <w:rFonts w:ascii="Times New Roman" w:hAnsi="Times New Roman" w:cs="Times New Roman"/>
          <w:sz w:val="24"/>
          <w:szCs w:val="24"/>
          <w:lang w:val="en-US"/>
        </w:rPr>
        <w:t xml:space="preserve"> &gt;7.5 mm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he selection of exclusively independent motivations for non-P predicted </w:t>
      </w:r>
      <w:r w:rsidR="005F0806" w:rsidRPr="000C2454">
        <w:rPr>
          <w:rFonts w:ascii="Times New Roman" w:hAnsi="Times New Roman" w:cs="Times New Roman"/>
          <w:sz w:val="24"/>
          <w:szCs w:val="24"/>
          <w:lang w:val="en-US"/>
        </w:rPr>
        <w:t xml:space="preserve">compliance according to the </w:t>
      </w:r>
      <w:r w:rsidR="005F0806" w:rsidRPr="00344E3F">
        <w:rPr>
          <w:rFonts w:ascii="Times New Roman" w:hAnsi="Times New Roman" w:cs="Times New Roman"/>
          <w:sz w:val="24"/>
          <w:szCs w:val="24"/>
          <w:lang w:val="en-US"/>
        </w:rPr>
        <w:t>C-</w:t>
      </w:r>
      <w:r w:rsidR="005F0806" w:rsidRPr="000C2454">
        <w:rPr>
          <w:rFonts w:ascii="Times New Roman" w:hAnsi="Times New Roman" w:cs="Times New Roman"/>
          <w:sz w:val="24"/>
          <w:szCs w:val="24"/>
          <w:lang w:val="en-US"/>
        </w:rPr>
        <w:t>VAS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15.6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95%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CI 5.4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45.3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>];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p≤0.001</w:t>
      </w:r>
      <w:r w:rsidR="005F080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F0806" w:rsidRPr="00C23D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lastRenderedPageBreak/>
        <w:t>We co</w:t>
      </w:r>
      <w:r w:rsidR="003915F6">
        <w:rPr>
          <w:rFonts w:ascii="Times New Roman" w:hAnsi="Times New Roman" w:cs="Times New Roman"/>
          <w:sz w:val="24"/>
          <w:szCs w:val="24"/>
          <w:lang w:val="en-US"/>
        </w:rPr>
        <w:t>nfirmed the above results when 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was assessed as per the CQ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he selection of exclusively independent motivations for non-P predicted CQ score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ß 0.79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95%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CI 0.01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0.819</w:t>
      </w:r>
      <w:r>
        <w:rPr>
          <w:rFonts w:ascii="Times New Roman" w:hAnsi="Times New Roman" w:cs="Times New Roman"/>
          <w:sz w:val="24"/>
          <w:szCs w:val="24"/>
          <w:lang w:val="en-US"/>
        </w:rPr>
        <w:t>];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p=0.045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3915F6">
        <w:rPr>
          <w:rFonts w:ascii="Times New Roman" w:hAnsi="Times New Roman" w:cs="Times New Roman"/>
          <w:sz w:val="24"/>
          <w:szCs w:val="24"/>
          <w:lang w:val="en-US"/>
        </w:rPr>
        <w:t xml:space="preserve">Also,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the selection of exclusively independent motivations for non-P predicted compliance as per CQ (OR 2.25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95%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CI 1.062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4.664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p=0.034).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2A0C">
        <w:rPr>
          <w:rFonts w:ascii="Times New Roman" w:hAnsi="Times New Roman" w:cs="Times New Roman"/>
          <w:sz w:val="24"/>
          <w:szCs w:val="24"/>
          <w:lang w:val="en-US"/>
        </w:rPr>
        <w:t>Similar results were obtained when the analysis was repeated for patients selecting ≥1 independent motivation(s) for non-P (data not shown).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F0806" w:rsidRPr="003F0614" w:rsidRDefault="005F0806" w:rsidP="00230258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0614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:rsidR="005F0806" w:rsidRPr="00C23D92" w:rsidRDefault="005F0806" w:rsidP="005F0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>In the present study, we assessed compliance with DMARDs in an ongoing cohort of early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onset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RA patients followed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up from 2004 </w:t>
      </w:r>
      <w:r>
        <w:rPr>
          <w:rFonts w:ascii="Times New Roman" w:hAnsi="Times New Roman" w:cs="Times New Roman"/>
          <w:sz w:val="24"/>
          <w:szCs w:val="24"/>
          <w:lang w:val="en-US"/>
        </w:rPr>
        <w:t>to January 2016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Assessment was performed </w:t>
      </w:r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 questionnaire </w:t>
      </w:r>
      <w:r>
        <w:rPr>
          <w:rFonts w:ascii="Times New Roman" w:hAnsi="Times New Roman" w:cs="Times New Roman"/>
          <w:sz w:val="24"/>
          <w:szCs w:val="24"/>
          <w:lang w:val="en-US"/>
        </w:rPr>
        <w:t>that has been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previously shown to b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e adequate (</w:t>
      </w:r>
      <w:r w:rsidR="00FE10DD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>, 2010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. Additionally, we developed and applied a h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>orizontal VAS for self-scoring compliance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n busy clinical settings, there is a need for quick and convenient clinical tools to assess repeated subjective experiences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pain) or </w:t>
      </w:r>
      <w:proofErr w:type="spellStart"/>
      <w:r w:rsidRPr="00C23D92">
        <w:rPr>
          <w:rFonts w:ascii="Times New Roman" w:hAnsi="Times New Roman" w:cs="Times New Roman"/>
          <w:sz w:val="24"/>
          <w:szCs w:val="24"/>
          <w:lang w:val="en-US"/>
        </w:rPr>
        <w:t>behavio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rs</w:t>
      </w:r>
      <w:proofErr w:type="spellEnd"/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compliance)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and,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are easy to score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VAS ha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been shown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adequate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suitable for frequent and repeat use, easily understood by patients and requir</w:t>
      </w:r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little motivation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 for its completion (</w:t>
      </w:r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McCormack HM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et al, 1988, </w:t>
      </w:r>
      <w:proofErr w:type="spellStart"/>
      <w:r w:rsidR="00BC1E7F">
        <w:rPr>
          <w:rFonts w:ascii="Times New Roman" w:hAnsi="Times New Roman" w:cs="Times New Roman"/>
          <w:sz w:val="24"/>
          <w:szCs w:val="24"/>
          <w:lang w:val="en-US"/>
        </w:rPr>
        <w:t>Rampling</w:t>
      </w:r>
      <w:proofErr w:type="spellEnd"/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DJ &amp; </w:t>
      </w:r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Williams RA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, 1977, </w:t>
      </w:r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Morrison DP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1983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There was </w:t>
      </w:r>
      <w:proofErr w:type="gramStart"/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4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moderate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albeit significant, correlation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between the C-VAS and the CQ</w:t>
      </w:r>
      <w:r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he CQ separates the constructs of A and P using specific items</w:t>
      </w:r>
      <w:r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he C-VAS showed a slightly </w:t>
      </w:r>
      <w:r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correlation with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construct than with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construct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his suggest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that patients identified the (temporal) cessation of medication intake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 construct)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 xml:space="preserve"> as inadequate compliance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meanwhile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missing doses or incomplete regimens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 construct)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may be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perceived by themselves as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We also identified the </w:t>
      </w:r>
      <w:r>
        <w:rPr>
          <w:rFonts w:ascii="Times New Roman" w:hAnsi="Times New Roman" w:cs="Times New Roman"/>
          <w:sz w:val="24"/>
          <w:szCs w:val="24"/>
          <w:lang w:val="en-US"/>
        </w:rPr>
        <w:t>optimum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C-VAS cut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value (7.5 mm)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to predict CQ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compliance; cut-off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F83D34" w:rsidRPr="00C23D92">
        <w:rPr>
          <w:rFonts w:ascii="Times New Roman" w:hAnsi="Times New Roman" w:cs="Times New Roman"/>
          <w:sz w:val="24"/>
          <w:szCs w:val="24"/>
          <w:lang w:val="en-US"/>
        </w:rPr>
        <w:t>identical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 similar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cut-off for 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6.5 mm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Finally, we found that among patients </w:t>
      </w:r>
      <w:r>
        <w:rPr>
          <w:rFonts w:ascii="Times New Roman" w:hAnsi="Times New Roman" w:cs="Times New Roman"/>
          <w:sz w:val="24"/>
          <w:szCs w:val="24"/>
          <w:lang w:val="en-US"/>
        </w:rPr>
        <w:t>who were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, the selection of at least one patient-independent motivation for non-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(isolated or combined with patient-dependent motivations) predict</w:t>
      </w:r>
      <w:r w:rsidR="00604697">
        <w:rPr>
          <w:rFonts w:ascii="Times New Roman" w:hAnsi="Times New Roman" w:cs="Times New Roman"/>
          <w:sz w:val="24"/>
          <w:szCs w:val="24"/>
          <w:lang w:val="en-US"/>
        </w:rPr>
        <w:t>ed a better self-assessment of 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. This classification is conceptually different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the distinction between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ntentional and </w:t>
      </w:r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intentional non-adherence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 which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former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is a </w:t>
      </w:r>
      <w:proofErr w:type="spellStart"/>
      <w:r w:rsidRPr="00C23D92">
        <w:rPr>
          <w:rFonts w:ascii="Times New Roman" w:hAnsi="Times New Roman" w:cs="Times New Roman"/>
          <w:sz w:val="24"/>
          <w:szCs w:val="24"/>
          <w:lang w:val="en-US"/>
        </w:rPr>
        <w:t>behavio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driven by the decision not to take medic</w:t>
      </w:r>
      <w:r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Lorish</w:t>
      </w:r>
      <w:proofErr w:type="spellEnd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 xml:space="preserve"> CD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et al, 1989, </w:t>
      </w:r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Clifford S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et al, 2008, Horne R &amp;</w:t>
      </w:r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Weinman</w:t>
      </w:r>
      <w:proofErr w:type="spellEnd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>, 1999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C015B5">
        <w:rPr>
          <w:rFonts w:ascii="Times New Roman" w:hAnsi="Times New Roman" w:cs="Times New Roman"/>
          <w:sz w:val="24"/>
          <w:szCs w:val="24"/>
          <w:lang w:val="en-US"/>
        </w:rPr>
        <w:t xml:space="preserve">In our study, the category assignment (patient dependent versus independent) of each particular motivation was based on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15B5">
        <w:rPr>
          <w:rFonts w:ascii="Times New Roman" w:hAnsi="Times New Roman" w:cs="Times New Roman"/>
          <w:sz w:val="24"/>
          <w:szCs w:val="24"/>
          <w:lang w:val="en-US"/>
        </w:rPr>
        <w:t xml:space="preserve"> 70% consensus obtained from a sample of patients themselves.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Our finding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suggest that patients had the </w:t>
      </w:r>
      <w:proofErr w:type="spellStart"/>
      <w:r w:rsidRPr="00F84B29">
        <w:rPr>
          <w:rFonts w:ascii="Times New Roman" w:hAnsi="Times New Roman" w:cs="Times New Roman"/>
          <w:sz w:val="24"/>
          <w:szCs w:val="24"/>
          <w:lang w:val="en-US"/>
        </w:rPr>
        <w:t>mis</w:t>
      </w:r>
      <w:proofErr w:type="spellEnd"/>
      <w:r w:rsidRPr="00F84B29">
        <w:rPr>
          <w:rFonts w:ascii="Times New Roman" w:hAnsi="Times New Roman" w:cs="Times New Roman"/>
          <w:sz w:val="24"/>
          <w:szCs w:val="24"/>
          <w:lang w:val="en-US"/>
        </w:rPr>
        <w:t>-informed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idea that patient-independent motivations for non-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do not correspond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the conceptual </w:t>
      </w:r>
      <w:r>
        <w:rPr>
          <w:rFonts w:ascii="Times New Roman" w:hAnsi="Times New Roman" w:cs="Times New Roman"/>
          <w:sz w:val="24"/>
          <w:szCs w:val="24"/>
          <w:lang w:val="en-US"/>
        </w:rPr>
        <w:t>construct of</w:t>
      </w:r>
      <w:r w:rsidR="003915F6">
        <w:rPr>
          <w:rFonts w:ascii="Times New Roman" w:hAnsi="Times New Roman" w:cs="Times New Roman"/>
          <w:sz w:val="24"/>
          <w:szCs w:val="24"/>
          <w:lang w:val="en-US"/>
        </w:rPr>
        <w:t xml:space="preserve"> (non-)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5F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, they are not perceived as a motivating factor for non</w:t>
      </w:r>
      <w:r w:rsidR="003915F6">
        <w:rPr>
          <w:rFonts w:ascii="Times New Roman" w:hAnsi="Times New Roman" w:cs="Times New Roman"/>
          <w:sz w:val="24"/>
          <w:szCs w:val="24"/>
          <w:lang w:val="en-US"/>
        </w:rPr>
        <w:t>-compliance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accordingly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appear to be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erased from the equation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when they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 xml:space="preserve"> rate compliance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. Van den </w:t>
      </w:r>
      <w:proofErr w:type="spellStart"/>
      <w:r w:rsidR="002A6479">
        <w:rPr>
          <w:rFonts w:ascii="Times New Roman" w:hAnsi="Times New Roman" w:cs="Times New Roman"/>
          <w:sz w:val="24"/>
          <w:szCs w:val="24"/>
          <w:lang w:val="en-US"/>
        </w:rPr>
        <w:t>Bemt</w:t>
      </w:r>
      <w:proofErr w:type="spellEnd"/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 et al (</w:t>
      </w:r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 xml:space="preserve">Van der </w:t>
      </w:r>
      <w:proofErr w:type="spellStart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Bemt</w:t>
      </w:r>
      <w:proofErr w:type="spellEnd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 xml:space="preserve"> BJF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et al, 2012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developed a simplified model to explain adherent </w:t>
      </w:r>
      <w:proofErr w:type="spellStart"/>
      <w:r w:rsidRPr="00C23D92">
        <w:rPr>
          <w:rFonts w:ascii="Times New Roman" w:hAnsi="Times New Roman" w:cs="Times New Roman"/>
          <w:sz w:val="24"/>
          <w:szCs w:val="24"/>
          <w:lang w:val="en-US"/>
        </w:rPr>
        <w:t>behavio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atients </w:t>
      </w:r>
      <w:r>
        <w:rPr>
          <w:rFonts w:ascii="Times New Roman" w:hAnsi="Times New Roman" w:cs="Times New Roman"/>
          <w:sz w:val="24"/>
          <w:szCs w:val="24"/>
          <w:lang w:val="en-US"/>
        </w:rPr>
        <w:t>conduct a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risk-benefit analysis </w:t>
      </w:r>
      <w:r>
        <w:rPr>
          <w:rFonts w:ascii="Times New Roman" w:hAnsi="Times New Roman" w:cs="Times New Roman"/>
          <w:sz w:val="24"/>
          <w:szCs w:val="24"/>
          <w:lang w:val="en-US"/>
        </w:rPr>
        <w:t>based on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their beliefs about the necessity of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medication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whether they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outweigh their concerns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Rosenstock</w:t>
      </w:r>
      <w:proofErr w:type="spellEnd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 xml:space="preserve"> IM</w:t>
      </w:r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et al, 1988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 W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former is stronger than the concerns, patients will take their medications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intentionally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, and will do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successfully unless unintentional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patient-independent) barriers hinder the patient in taking their medication. In clinical practice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it is recommended that patients 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>rate compliance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 themselves (</w:t>
      </w:r>
      <w:proofErr w:type="spellStart"/>
      <w:r w:rsidR="00BC1E7F" w:rsidRPr="00BC1E7F">
        <w:rPr>
          <w:rFonts w:ascii="Times New Roman" w:hAnsi="Times New Roman" w:cs="Times New Roman"/>
          <w:sz w:val="24"/>
          <w:szCs w:val="24"/>
          <w:lang w:val="en-US"/>
        </w:rPr>
        <w:t>Scheiman-Elazary</w:t>
      </w:r>
      <w:proofErr w:type="spellEnd"/>
      <w:r w:rsidR="00BC1E7F">
        <w:rPr>
          <w:rFonts w:ascii="Times New Roman" w:hAnsi="Times New Roman" w:cs="Times New Roman"/>
          <w:sz w:val="24"/>
          <w:szCs w:val="24"/>
          <w:lang w:val="en-US"/>
        </w:rPr>
        <w:t xml:space="preserve"> et al, </w:t>
      </w:r>
      <w:r w:rsidR="00F83D34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 and o</w:t>
      </w:r>
      <w:r w:rsidRPr="009316B8">
        <w:rPr>
          <w:rFonts w:ascii="Times New Roman" w:hAnsi="Times New Roman" w:cs="Times New Roman"/>
          <w:sz w:val="24"/>
          <w:szCs w:val="24"/>
          <w:lang w:val="en-US"/>
        </w:rPr>
        <w:t xml:space="preserve">ur study highlights that careful consideration should be given to how 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316B8">
        <w:rPr>
          <w:rFonts w:ascii="Times New Roman" w:hAnsi="Times New Roman" w:cs="Times New Roman"/>
          <w:sz w:val="24"/>
          <w:szCs w:val="24"/>
          <w:lang w:val="en-US"/>
        </w:rPr>
        <w:t xml:space="preserve"> is assessed</w:t>
      </w:r>
      <w:r w:rsidRPr="00CC56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D2244">
        <w:rPr>
          <w:rFonts w:ascii="Times New Roman" w:hAnsi="Times New Roman" w:cs="Times New Roman"/>
          <w:sz w:val="24"/>
          <w:szCs w:val="24"/>
          <w:lang w:val="en-US"/>
        </w:rPr>
        <w:t>Specifically, motivation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D224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 xml:space="preserve"> for non-compliance</w:t>
      </w:r>
      <w:r w:rsidRPr="006D2244">
        <w:rPr>
          <w:rFonts w:ascii="Times New Roman" w:hAnsi="Times New Roman" w:cs="Times New Roman"/>
          <w:sz w:val="24"/>
          <w:szCs w:val="24"/>
          <w:lang w:val="en-US"/>
        </w:rPr>
        <w:t xml:space="preserve"> affect how patients perceive and score themselves, </w:t>
      </w:r>
      <w:r>
        <w:rPr>
          <w:rFonts w:ascii="Times New Roman" w:hAnsi="Times New Roman" w:cs="Times New Roman"/>
          <w:sz w:val="24"/>
          <w:szCs w:val="24"/>
          <w:lang w:val="en-US"/>
        </w:rPr>
        <w:t>and may lead to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D46284">
        <w:rPr>
          <w:rFonts w:ascii="Times New Roman" w:hAnsi="Times New Roman" w:cs="Times New Roman"/>
          <w:sz w:val="24"/>
          <w:szCs w:val="24"/>
          <w:lang w:val="en-US"/>
        </w:rPr>
        <w:t>mis</w:t>
      </w:r>
      <w:proofErr w:type="spellEnd"/>
      <w:r w:rsidR="00D46284">
        <w:rPr>
          <w:rFonts w:ascii="Times New Roman" w:hAnsi="Times New Roman" w:cs="Times New Roman"/>
          <w:sz w:val="24"/>
          <w:szCs w:val="24"/>
          <w:lang w:val="en-US"/>
        </w:rPr>
        <w:t>-identification of non-compliant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patients. </w:t>
      </w:r>
    </w:p>
    <w:p w:rsidR="005F0806" w:rsidRPr="007D2D75" w:rsidRDefault="005F0806" w:rsidP="005F080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</w:t>
      </w:r>
      <w:r w:rsidRPr="004B42F9">
        <w:rPr>
          <w:rFonts w:ascii="Times New Roman" w:hAnsi="Times New Roman" w:cs="Times New Roman"/>
          <w:sz w:val="24"/>
          <w:szCs w:val="24"/>
          <w:lang w:val="en-US"/>
        </w:rPr>
        <w:t xml:space="preserve">imitations of the study </w:t>
      </w:r>
      <w:r>
        <w:rPr>
          <w:rFonts w:ascii="Times New Roman" w:hAnsi="Times New Roman" w:cs="Times New Roman"/>
          <w:sz w:val="24"/>
          <w:szCs w:val="24"/>
          <w:lang w:val="en-US"/>
        </w:rPr>
        <w:t>need to be addressed.</w:t>
      </w:r>
      <w:r w:rsidRPr="004B42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B42F9">
        <w:rPr>
          <w:rFonts w:ascii="Times New Roman" w:hAnsi="Times New Roman" w:cs="Times New Roman"/>
          <w:sz w:val="24"/>
          <w:szCs w:val="24"/>
          <w:lang w:val="en-US"/>
        </w:rPr>
        <w:t xml:space="preserve">irst,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B42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 did not use a well-validated questionnaire to assess </w:t>
      </w:r>
      <w:r w:rsidR="00D46284">
        <w:rPr>
          <w:rFonts w:ascii="Times New Roman" w:eastAsia="Calibri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4B42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4B42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 </w:t>
      </w:r>
      <w:r w:rsidRPr="004B42F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applied a short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locally designed </w:t>
      </w:r>
      <w:r w:rsidRPr="004B42F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patient-oriented questionnaire, which has shown adequate internal consistency, high sensitivity and satisfactory specificity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to as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sess P with traditional DMARDs (</w:t>
      </w:r>
      <w:r w:rsidR="00FE10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Author</w:t>
      </w:r>
      <w:r w:rsid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2010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Second, we applied a VAS, although neither its validity nor its suitability for the population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were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assessed.  When using the VAS, it may be argued that end points were not clearly defined and may no</w:t>
      </w:r>
      <w:r w:rsidR="00D4628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 convey the full range of non-compliance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In addition, patients were likely to rate themselves in reference to their personal experience and not relative to the </w:t>
      </w:r>
      <w:r w:rsidR="00D4628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overall number of possible non-compliance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behaviou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rs</w:t>
      </w:r>
      <w:proofErr w:type="spellEnd"/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F83D34" w:rsidRP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Lati</w:t>
      </w:r>
      <w:proofErr w:type="spellEnd"/>
      <w:r w:rsidR="00F83D34" w:rsidRP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</w:t>
      </w:r>
      <w:r w:rsid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et al, 2010, </w:t>
      </w:r>
      <w:r w:rsidR="00F83D34" w:rsidRP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Bellamy N</w:t>
      </w:r>
      <w:r w:rsid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1989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Nonetheless, our main results reflect how motivation category for non-P impacts </w:t>
      </w:r>
      <w:r w:rsidR="00D4628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 patient’s self-assessment of compliance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and that similar results were obtained with the CQ and C-VAS. The use of multiple</w:t>
      </w:r>
      <w:r w:rsidR="00D4628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measurement methods to assess compliance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within one study has been recommended because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data obtained can be combined (</w:t>
      </w:r>
      <w:proofErr w:type="spellStart"/>
      <w:r w:rsidR="00F83D34" w:rsidRP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Pasma</w:t>
      </w:r>
      <w:proofErr w:type="spellEnd"/>
      <w:r w:rsidR="00F83D34" w:rsidRP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</w:t>
      </w:r>
      <w:r w:rsid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et al, 2013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Also, </w:t>
      </w:r>
      <w:r w:rsidRPr="005D13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we presented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C-</w:t>
      </w:r>
      <w:r w:rsidRPr="005D13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VAS in a horizontal rather than vertical format and did not define intermediate points as strategies to reduce respondent error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r w:rsidR="00F83D34" w:rsidRP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McCormack HM</w:t>
      </w:r>
      <w:r w:rsidR="00F83D3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et al, 1988</w:t>
      </w:r>
      <w:r w:rsidR="002A64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Third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42F9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US"/>
        </w:rPr>
        <w:t>investigated</w:t>
      </w:r>
      <w:r w:rsidRPr="004B42F9">
        <w:rPr>
          <w:rFonts w:ascii="Times New Roman" w:hAnsi="Times New Roman" w:cs="Times New Roman"/>
          <w:sz w:val="24"/>
          <w:szCs w:val="24"/>
          <w:lang w:val="en-US"/>
        </w:rPr>
        <w:t xml:space="preserve"> a limited number of motivations for non-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B42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which</w:t>
      </w:r>
      <w:r w:rsidRPr="004B42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were selected based on the existing literature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and corresponded with a group of ‘patient-related factors’ published in a WHO report in 2003 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83D34" w:rsidRPr="00F83D34">
        <w:rPr>
          <w:rFonts w:ascii="Times New Roman" w:hAnsi="Times New Roman" w:cs="Times New Roman"/>
          <w:sz w:val="24"/>
          <w:szCs w:val="24"/>
          <w:lang w:val="en-US"/>
        </w:rPr>
        <w:t>World Health Organization</w:t>
      </w:r>
      <w:r w:rsidR="00F83D34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Fourth, our population was</w:t>
      </w:r>
      <w:r w:rsidRPr="00A7522A">
        <w:rPr>
          <w:rFonts w:ascii="Times New Roman" w:hAnsi="Times New Roman" w:cs="Times New Roman"/>
          <w:sz w:val="24"/>
          <w:szCs w:val="24"/>
          <w:lang w:val="en-US"/>
        </w:rPr>
        <w:t xml:space="preserve"> not representative of other populations in terms of </w:t>
      </w:r>
      <w:r w:rsidRPr="00A752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sociodemographic characteristics, ethnicity,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 </w:t>
      </w:r>
      <w:r w:rsidRPr="00A7522A">
        <w:rPr>
          <w:rFonts w:ascii="Times New Roman" w:eastAsia="Calibri" w:hAnsi="Times New Roman" w:cs="Times New Roman"/>
          <w:sz w:val="24"/>
          <w:szCs w:val="24"/>
          <w:lang w:val="en-US"/>
        </w:rPr>
        <w:t>treatment and health system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therefore, </w:t>
      </w:r>
      <w:r w:rsidRPr="00A7522A">
        <w:rPr>
          <w:rFonts w:ascii="Times New Roman" w:eastAsia="Calibri" w:hAnsi="Times New Roman" w:cs="Times New Roman"/>
          <w:sz w:val="24"/>
          <w:szCs w:val="24"/>
          <w:lang w:val="en-US"/>
        </w:rPr>
        <w:t>our results may not be generalized to RA populations with different characteristics</w:t>
      </w:r>
      <w:r w:rsidR="002A64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="00FE10DD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F83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2009, </w:t>
      </w:r>
      <w:r w:rsidR="00FE10DD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F83D34">
        <w:rPr>
          <w:rFonts w:ascii="Times New Roman" w:eastAsia="Calibri" w:hAnsi="Times New Roman" w:cs="Times New Roman"/>
          <w:sz w:val="24"/>
          <w:szCs w:val="24"/>
          <w:lang w:val="en-US"/>
        </w:rPr>
        <w:t>, 2010</w:t>
      </w:r>
      <w:r w:rsidR="002A647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F0806" w:rsidRDefault="005F0806" w:rsidP="005F08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RA outcomes may be impacted by inadequate 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to prescribed treatment. Identif</w:t>
      </w:r>
      <w:r>
        <w:rPr>
          <w:rFonts w:ascii="Times New Roman" w:hAnsi="Times New Roman" w:cs="Times New Roman"/>
          <w:sz w:val="24"/>
          <w:szCs w:val="24"/>
          <w:lang w:val="en-US"/>
        </w:rPr>
        <w:t>ying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atients with poor 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its predictors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should be recommended in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lastRenderedPageBreak/>
        <w:t>clinical practice, especially in health care systems with poor resources</w:t>
      </w:r>
      <w:r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atient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>s personal beliefs required additional time and attention from physicians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because they appeared to impact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patients self-assess </w:t>
      </w:r>
      <w:r w:rsidR="00D46284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. Ultimately, knowledge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factors associated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medication adherence in RA patients could help health professional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develop adherence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improving interventions.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ducational interventions concentrate on changing </w:t>
      </w:r>
      <w:r w:rsidRPr="00081674">
        <w:rPr>
          <w:rFonts w:ascii="Times New Roman" w:hAnsi="Times New Roman" w:cs="Times New Roman"/>
          <w:sz w:val="24"/>
          <w:szCs w:val="24"/>
          <w:lang w:val="en-US"/>
        </w:rPr>
        <w:t>dysfunctional</w:t>
      </w:r>
      <w:r w:rsidRPr="00F84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patient perceptions and beliefs </w:t>
      </w: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motivating factors for a particular </w:t>
      </w:r>
      <w:proofErr w:type="spellStart"/>
      <w:r w:rsidR="002A6479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2A64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83D34" w:rsidRPr="00F83D34">
        <w:rPr>
          <w:rFonts w:ascii="Times New Roman" w:hAnsi="Times New Roman" w:cs="Times New Roman"/>
          <w:sz w:val="24"/>
          <w:szCs w:val="24"/>
          <w:lang w:val="en-US"/>
        </w:rPr>
        <w:t>Hill J</w:t>
      </w:r>
      <w:r w:rsidR="00F83D34">
        <w:rPr>
          <w:rFonts w:ascii="Times New Roman" w:hAnsi="Times New Roman" w:cs="Times New Roman"/>
          <w:sz w:val="24"/>
          <w:szCs w:val="24"/>
          <w:lang w:val="en-US"/>
        </w:rPr>
        <w:t xml:space="preserve"> et al, 2001, </w:t>
      </w:r>
      <w:r w:rsidR="00F83D34" w:rsidRPr="00F83D34">
        <w:rPr>
          <w:rFonts w:ascii="Times New Roman" w:hAnsi="Times New Roman" w:cs="Times New Roman"/>
          <w:sz w:val="24"/>
          <w:szCs w:val="24"/>
          <w:lang w:val="en-US"/>
        </w:rPr>
        <w:t xml:space="preserve">Van </w:t>
      </w:r>
      <w:proofErr w:type="spellStart"/>
      <w:r w:rsidR="00F83D34" w:rsidRPr="00F83D34">
        <w:rPr>
          <w:rFonts w:ascii="Times New Roman" w:hAnsi="Times New Roman" w:cs="Times New Roman"/>
          <w:sz w:val="24"/>
          <w:szCs w:val="24"/>
          <w:lang w:val="en-US"/>
        </w:rPr>
        <w:t>Dulmen</w:t>
      </w:r>
      <w:proofErr w:type="spellEnd"/>
      <w:r w:rsidR="00F83D34" w:rsidRPr="00F83D3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F83D34">
        <w:rPr>
          <w:rFonts w:ascii="Times New Roman" w:hAnsi="Times New Roman" w:cs="Times New Roman"/>
          <w:sz w:val="24"/>
          <w:szCs w:val="24"/>
          <w:lang w:val="en-US"/>
        </w:rPr>
        <w:t xml:space="preserve"> et al, 2007</w:t>
      </w:r>
      <w:r w:rsidR="002A647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and could be </w:t>
      </w:r>
      <w:r>
        <w:rPr>
          <w:rFonts w:ascii="Times New Roman" w:hAnsi="Times New Roman" w:cs="Times New Roman"/>
          <w:sz w:val="24"/>
          <w:szCs w:val="24"/>
          <w:lang w:val="en-US"/>
        </w:rPr>
        <w:t>adopted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individual’s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ability to manage his or her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through the provision of tailored information.  </w:t>
      </w:r>
    </w:p>
    <w:p w:rsidR="005A3136" w:rsidRDefault="005A3136" w:rsidP="0037702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6479" w:rsidRPr="00C23D92" w:rsidRDefault="002A6479" w:rsidP="002A64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D92">
        <w:rPr>
          <w:rFonts w:ascii="Times New Roman" w:hAnsi="Times New Roman" w:cs="Times New Roman"/>
          <w:b/>
          <w:sz w:val="24"/>
          <w:szCs w:val="24"/>
          <w:lang w:val="en-US"/>
        </w:rPr>
        <w:t>Acknowledgments:</w:t>
      </w:r>
      <w:r w:rsidRPr="00C23D92">
        <w:rPr>
          <w:rFonts w:ascii="Times New Roman" w:hAnsi="Times New Roman" w:cs="Times New Roman"/>
          <w:sz w:val="24"/>
          <w:szCs w:val="24"/>
          <w:lang w:val="en-US"/>
        </w:rPr>
        <w:t xml:space="preserve"> none </w:t>
      </w:r>
    </w:p>
    <w:p w:rsidR="00F2058D" w:rsidRDefault="00F2058D" w:rsidP="0037702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58D" w:rsidRDefault="00230258" w:rsidP="00F2058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="00F2058D" w:rsidRPr="005C7A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Bellamy N. Critical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review  of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clinical assessment techniques for rheumatoid arthritis trials : new developments. Scan J Rheumatology 1989; 80:3-16.   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Clifford S, Barber N, Horne R. Understanding different beliefs held by adherers, unintentional non-adherers and intentional non-adherers: application of the necessity-concerns framework. J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Psychosomat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Res 2008; 64:41-46. 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>Contreras-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Yáñez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Cabiedes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J†, Villa AR,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Rull-Gabayet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Pascual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-Ramos V. Persistence on therapy is a major determinant of patient-, physician- and laboratory- reported outcomes in recent-onset rheumatoid arthritis patients.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Exp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Rheumatol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;28:748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>-51.</w:t>
      </w:r>
    </w:p>
    <w:p w:rsidR="004D4753" w:rsidRDefault="004D4753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4753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Contreras-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Yáñez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I, Ponce de León S,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Cabiedes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J†,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Rull-Gabayet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Pascual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-Ramos V. Inadequate therapy behavior is associated to disease flares in patients with rheumatoid arthritis who have achieved remission with disease modifying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antirheumatic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drugs. Am J Med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2010; 340(4):282-90.</w:t>
      </w:r>
    </w:p>
    <w:p w:rsidR="004D4753" w:rsidRDefault="004D4753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Grigor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Capell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Stirling</w:t>
      </w:r>
      <w:proofErr w:type="spellEnd"/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A. Effect of treatment strategy of tight control for Rheumatoid Arthritis (the TICORA study): A single-blind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randomised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controlled trial. Lancet 2004; 364 (9430):263-9.</w:t>
      </w:r>
    </w:p>
    <w:p w:rsidR="004D4753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Hill J, Bird H, Johnson S. Effect of patient education on adherence to drug treatment for rheumatoid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arthritis :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a randomized controlled trial. Ann Rheum Dis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2001 ;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60 :869-75. 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Horne R,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Weinman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J. Patient´s beliefs about prescribed medicines and their role in adherence to treatment in chronic physical illness. J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Psychosom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Res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1999 ;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47 :555-567.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Jing J, Grant ES, Vernon MSO,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CL. Factors affecting therapeutic compliance: A review from the patient´s perspective,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Manag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2008; 4(1):269-86.</w:t>
      </w:r>
    </w:p>
    <w:p w:rsidR="00B4708E" w:rsidRDefault="00B4708E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Kosinski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Kujawski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SC, Martin R,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Wanke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LA,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Buatti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MC, Ware JE Jr, et al. Health-related quality of life in early rheumatoid arthritis: impact of disease and treatment response. Am J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Manag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Care 2002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;8:231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>-40.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Lati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C, Guthrie LC, Ward MM. Comparison of the construct validity and sensitivity to change of the visual analogue scale and a modified rating scale as measures of patient global assessment in rheumatoid arthritis.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rheumatol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2010 ;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37(4) :717-22.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Lorish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CD, Richards B, Brown S. Missed medication doses in rheumatic arthritis patients: intentional and unintentional reasons.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Arthritis Care Res 1989; 2:3-9.</w:t>
      </w:r>
      <w:proofErr w:type="gramEnd"/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McCormack HM, Horne DJ,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Sheater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S. Clinical applications of visual analogue scales: a critical review.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Psychol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Med 1988; 18(4):1007-19. </w:t>
      </w:r>
    </w:p>
    <w:p w:rsidR="004D4753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Mody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GM,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Cardiel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MH.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Challenges in the management of rheumatoid arthritis in developing countries.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Best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Pract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Res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Rheumatol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2008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;22:621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>-41.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Morrison DP.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The Crichton visual analogue scale for the assessment of behavior in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teh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elderly.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Psy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Scan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1983 ;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68 :408-13.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Neame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R, Hammond A. Beliefs about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medications :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a questionnaire survey of people with rheumatoid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arthitis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Rheumatol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2005 ;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44 :762-67. </w:t>
      </w:r>
    </w:p>
    <w:p w:rsidR="004D4753" w:rsidRDefault="004D4753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D4753">
        <w:rPr>
          <w:rFonts w:ascii="Times New Roman" w:hAnsi="Times New Roman" w:cs="Times New Roman"/>
          <w:sz w:val="24"/>
          <w:szCs w:val="24"/>
          <w:lang w:val="en-US"/>
        </w:rPr>
        <w:t>Pascual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>-Ramos V, Contreras-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Yáñez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I. Motivations for inadequate persistence with disease modifying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antirheumatic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drugs.</w:t>
      </w:r>
      <w:proofErr w:type="gram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D4753">
        <w:rPr>
          <w:rFonts w:ascii="Times New Roman" w:hAnsi="Times New Roman" w:cs="Times New Roman"/>
          <w:sz w:val="24"/>
          <w:szCs w:val="24"/>
          <w:lang w:val="en-US"/>
        </w:rPr>
        <w:t>The patient´s perspective.</w:t>
      </w:r>
      <w:proofErr w:type="gram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BMC Musculoskeletal Disorders 2013</w:t>
      </w:r>
      <w:proofErr w:type="gramStart"/>
      <w:r w:rsidRPr="004D4753">
        <w:rPr>
          <w:rFonts w:ascii="Times New Roman" w:hAnsi="Times New Roman" w:cs="Times New Roman"/>
          <w:sz w:val="24"/>
          <w:szCs w:val="24"/>
          <w:lang w:val="en-US"/>
        </w:rPr>
        <w:t>;14:336</w:t>
      </w:r>
      <w:proofErr w:type="gramEnd"/>
      <w:r w:rsidRPr="004D4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Pascual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>-Ramos V, Contreras-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Yáñez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I, Villa AR,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Cabiedes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J†,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Rull-Gabayet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M. Medication persistence over two years of follow-up in a cohort of early rheumatoid arthritis patients: associated factors and relationship with disease activity and disability. Arthritis Res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;11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>(1):R26.</w:t>
      </w:r>
    </w:p>
    <w:p w:rsidR="004D4753" w:rsidRDefault="004D4753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Pasma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van´t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Spijker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A, Hazes JMW,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Busschbach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Luime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JJ. Factors associated with adherence to pharmaceutical treatment for rheumatoid arthritis </w:t>
      </w:r>
      <w:proofErr w:type="gramStart"/>
      <w:r w:rsidRPr="004D4753">
        <w:rPr>
          <w:rFonts w:ascii="Times New Roman" w:hAnsi="Times New Roman" w:cs="Times New Roman"/>
          <w:sz w:val="24"/>
          <w:szCs w:val="24"/>
          <w:lang w:val="en-US"/>
        </w:rPr>
        <w:t>patients :</w:t>
      </w:r>
      <w:proofErr w:type="gram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A systematic review. Sem Arthritis Rheum </w:t>
      </w:r>
      <w:proofErr w:type="gramStart"/>
      <w:r w:rsidRPr="004D4753">
        <w:rPr>
          <w:rFonts w:ascii="Times New Roman" w:hAnsi="Times New Roman" w:cs="Times New Roman"/>
          <w:sz w:val="24"/>
          <w:szCs w:val="24"/>
          <w:lang w:val="en-US"/>
        </w:rPr>
        <w:t>2013 ;</w:t>
      </w:r>
      <w:proofErr w:type="gram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43 :18-28.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Rampling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DJ, Williams RA. Evaluation of group processes using visual analogue scales.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Australina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and New Zealand J Psych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1977 ;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11 :189-91.</w:t>
      </w:r>
    </w:p>
    <w:p w:rsidR="004D4753" w:rsidRPr="008C63FA" w:rsidRDefault="004D4753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lastRenderedPageBreak/>
        <w:t>Rosenstock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IM,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Strecher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VJ, Becher MH. </w:t>
      </w:r>
      <w:proofErr w:type="gramStart"/>
      <w:r w:rsidRPr="004D4753">
        <w:rPr>
          <w:rFonts w:ascii="Times New Roman" w:hAnsi="Times New Roman" w:cs="Times New Roman"/>
          <w:sz w:val="24"/>
          <w:szCs w:val="24"/>
          <w:lang w:val="en-US"/>
        </w:rPr>
        <w:t>Social learning theory and the Health Belief Model.</w:t>
      </w:r>
      <w:proofErr w:type="gram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Health </w:t>
      </w:r>
      <w:proofErr w:type="spellStart"/>
      <w:r w:rsidRPr="004D4753">
        <w:rPr>
          <w:rFonts w:ascii="Times New Roman" w:hAnsi="Times New Roman" w:cs="Times New Roman"/>
          <w:sz w:val="24"/>
          <w:szCs w:val="24"/>
          <w:lang w:val="en-US"/>
        </w:rPr>
        <w:t>Educ</w:t>
      </w:r>
      <w:proofErr w:type="spell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Quart </w:t>
      </w:r>
      <w:proofErr w:type="gramStart"/>
      <w:r w:rsidRPr="004D4753">
        <w:rPr>
          <w:rFonts w:ascii="Times New Roman" w:hAnsi="Times New Roman" w:cs="Times New Roman"/>
          <w:sz w:val="24"/>
          <w:szCs w:val="24"/>
          <w:lang w:val="en-US"/>
        </w:rPr>
        <w:t>1988 ;</w:t>
      </w:r>
      <w:proofErr w:type="gramEnd"/>
      <w:r w:rsidRPr="004D4753">
        <w:rPr>
          <w:rFonts w:ascii="Times New Roman" w:hAnsi="Times New Roman" w:cs="Times New Roman"/>
          <w:sz w:val="24"/>
          <w:szCs w:val="24"/>
          <w:lang w:val="en-US"/>
        </w:rPr>
        <w:t xml:space="preserve"> 152 :175-83.  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Sanderson T,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Kirwan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J. Patient-reported outcomes of arthritis: time to focus on personal life impact measures? Editorial Arthritis Rheum 2009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;61:1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>-3.</w:t>
      </w:r>
    </w:p>
    <w:p w:rsidR="00B4708E" w:rsidRDefault="00B4708E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Scheiman-Elazary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Lewei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Shourt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C, Agrawal H,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Ellashof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D, Cameron-Hay M, et al. The rate of adherence to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antiarthritis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medications and associated factors among patients with rheumatoid arthritis: A systematic literature review and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Metaanalysis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. J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Rheumatol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2016; 43(3):512-23.</w:t>
      </w:r>
    </w:p>
    <w:p w:rsidR="00FE4905" w:rsidRPr="008C63FA" w:rsidRDefault="00FE4905" w:rsidP="00FE490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Scott J,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Huskinsson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EC.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Graphic representation of pain.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Pain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1976 ;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2 :175-84.</w:t>
      </w:r>
    </w:p>
    <w:p w:rsidR="00B4708E" w:rsidRDefault="00B4708E" w:rsidP="00B470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Van der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Bemt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BJF,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Zwikker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HE, VAN DEN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Ende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C. Medication Adherence in patients with rheumatoid arthritis: a critical appraisal of the existing literature.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Exp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Rev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Immunol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2012; 8(4):337-51.</w:t>
      </w:r>
    </w:p>
    <w:p w:rsidR="004D4753" w:rsidRPr="008C63FA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Van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Dulmen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Sluijs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E, VAN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Dijk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L, De Ridder D,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Heerdink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8C63FA">
        <w:rPr>
          <w:rFonts w:ascii="Times New Roman" w:hAnsi="Times New Roman" w:cs="Times New Roman"/>
          <w:sz w:val="24"/>
          <w:szCs w:val="24"/>
          <w:lang w:val="en-US"/>
        </w:rPr>
        <w:t>Bensing</w:t>
      </w:r>
      <w:proofErr w:type="spell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J. Patient adherence to medical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treatment :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a review of reviews. BMC Health Services Research 2007;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7 :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>55.</w:t>
      </w:r>
      <w:bookmarkStart w:id="0" w:name="_GoBack"/>
      <w:bookmarkEnd w:id="0"/>
    </w:p>
    <w:p w:rsidR="004D4753" w:rsidRDefault="004D4753" w:rsidP="004D475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Wolfe F, Mitchell DM, Sibley JT, Fries JF, Bloch DA, Williams CA, et al.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The mortality of rheumatoid arthritis.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Arthritis Rheum 1994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;37:481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>-94.</w:t>
      </w:r>
    </w:p>
    <w:p w:rsidR="00F2058D" w:rsidRPr="008C63FA" w:rsidRDefault="00B4708E" w:rsidP="00FC60A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World Health Organization.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Adherence to long-term therapies: evidence for action. 2016. [Internet. Accessed June 10, 2016.]. Available </w:t>
      </w:r>
      <w:proofErr w:type="gramStart"/>
      <w:r w:rsidRPr="008C63FA">
        <w:rPr>
          <w:rFonts w:ascii="Times New Roman" w:hAnsi="Times New Roman" w:cs="Times New Roman"/>
          <w:sz w:val="24"/>
          <w:szCs w:val="24"/>
          <w:lang w:val="en-US"/>
        </w:rPr>
        <w:t>from :</w:t>
      </w:r>
      <w:proofErr w:type="gramEnd"/>
      <w:r w:rsidRPr="008C63FA">
        <w:rPr>
          <w:rFonts w:ascii="Times New Roman" w:hAnsi="Times New Roman" w:cs="Times New Roman"/>
          <w:sz w:val="24"/>
          <w:szCs w:val="24"/>
          <w:lang w:val="en-US"/>
        </w:rPr>
        <w:t xml:space="preserve"> www.who.int/chp/knowledge/publication/adherence_report/en</w:t>
      </w:r>
    </w:p>
    <w:sectPr w:rsidR="00F2058D" w:rsidRPr="008C6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281"/>
    <w:multiLevelType w:val="hybridMultilevel"/>
    <w:tmpl w:val="10F01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072A"/>
    <w:multiLevelType w:val="hybridMultilevel"/>
    <w:tmpl w:val="4E5ED5F0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06B0"/>
    <w:multiLevelType w:val="multilevel"/>
    <w:tmpl w:val="935CC8EE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4F0AFE"/>
    <w:multiLevelType w:val="hybridMultilevel"/>
    <w:tmpl w:val="D39C9608"/>
    <w:lvl w:ilvl="0" w:tplc="6EECDA5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E139F"/>
    <w:multiLevelType w:val="hybridMultilevel"/>
    <w:tmpl w:val="A0DA6F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F0C68"/>
    <w:multiLevelType w:val="hybridMultilevel"/>
    <w:tmpl w:val="1116D5FE"/>
    <w:lvl w:ilvl="0" w:tplc="8D962A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CA55C8"/>
    <w:multiLevelType w:val="multilevel"/>
    <w:tmpl w:val="A3AA4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EA"/>
    <w:rsid w:val="000069D7"/>
    <w:rsid w:val="00011696"/>
    <w:rsid w:val="0002032B"/>
    <w:rsid w:val="00025234"/>
    <w:rsid w:val="00030B2A"/>
    <w:rsid w:val="00037BBC"/>
    <w:rsid w:val="00037BD0"/>
    <w:rsid w:val="000576EF"/>
    <w:rsid w:val="000649C9"/>
    <w:rsid w:val="00084AFA"/>
    <w:rsid w:val="00092E37"/>
    <w:rsid w:val="00097F44"/>
    <w:rsid w:val="000B7424"/>
    <w:rsid w:val="000C3D88"/>
    <w:rsid w:val="000C740E"/>
    <w:rsid w:val="000C75CB"/>
    <w:rsid w:val="000C78D4"/>
    <w:rsid w:val="000D00CC"/>
    <w:rsid w:val="000F13F1"/>
    <w:rsid w:val="0010471E"/>
    <w:rsid w:val="001104F9"/>
    <w:rsid w:val="001120F4"/>
    <w:rsid w:val="001200A3"/>
    <w:rsid w:val="001325AE"/>
    <w:rsid w:val="00171B73"/>
    <w:rsid w:val="001733AE"/>
    <w:rsid w:val="00173922"/>
    <w:rsid w:val="0018164A"/>
    <w:rsid w:val="00185783"/>
    <w:rsid w:val="001A34B9"/>
    <w:rsid w:val="001B347A"/>
    <w:rsid w:val="001B3A3E"/>
    <w:rsid w:val="001B6E49"/>
    <w:rsid w:val="001C2205"/>
    <w:rsid w:val="001C2D32"/>
    <w:rsid w:val="001C2F87"/>
    <w:rsid w:val="001D42A5"/>
    <w:rsid w:val="001E3DF4"/>
    <w:rsid w:val="001F15D7"/>
    <w:rsid w:val="001F1E64"/>
    <w:rsid w:val="002045F7"/>
    <w:rsid w:val="00214B77"/>
    <w:rsid w:val="00230258"/>
    <w:rsid w:val="00232E81"/>
    <w:rsid w:val="0023324A"/>
    <w:rsid w:val="00261413"/>
    <w:rsid w:val="00265418"/>
    <w:rsid w:val="0027782F"/>
    <w:rsid w:val="0028226F"/>
    <w:rsid w:val="00284901"/>
    <w:rsid w:val="00296B99"/>
    <w:rsid w:val="002A1CB1"/>
    <w:rsid w:val="002A6479"/>
    <w:rsid w:val="002A7D5B"/>
    <w:rsid w:val="002B3286"/>
    <w:rsid w:val="002B5B91"/>
    <w:rsid w:val="002C26C5"/>
    <w:rsid w:val="002C287F"/>
    <w:rsid w:val="002C5EBB"/>
    <w:rsid w:val="002D4E00"/>
    <w:rsid w:val="002E5E9C"/>
    <w:rsid w:val="002F0507"/>
    <w:rsid w:val="002F690B"/>
    <w:rsid w:val="002F7E7B"/>
    <w:rsid w:val="00321070"/>
    <w:rsid w:val="00326243"/>
    <w:rsid w:val="003269BA"/>
    <w:rsid w:val="00335CEB"/>
    <w:rsid w:val="003371DC"/>
    <w:rsid w:val="00342149"/>
    <w:rsid w:val="00345033"/>
    <w:rsid w:val="00346299"/>
    <w:rsid w:val="00352213"/>
    <w:rsid w:val="0036235E"/>
    <w:rsid w:val="00364038"/>
    <w:rsid w:val="003640CE"/>
    <w:rsid w:val="00376C04"/>
    <w:rsid w:val="00376C46"/>
    <w:rsid w:val="00377022"/>
    <w:rsid w:val="00381955"/>
    <w:rsid w:val="003846CE"/>
    <w:rsid w:val="003915F6"/>
    <w:rsid w:val="00397365"/>
    <w:rsid w:val="003A0099"/>
    <w:rsid w:val="003A0280"/>
    <w:rsid w:val="003B48A7"/>
    <w:rsid w:val="003C466E"/>
    <w:rsid w:val="003D2C6A"/>
    <w:rsid w:val="003D634F"/>
    <w:rsid w:val="003E47CC"/>
    <w:rsid w:val="003F0614"/>
    <w:rsid w:val="003F2F77"/>
    <w:rsid w:val="00426458"/>
    <w:rsid w:val="0042666F"/>
    <w:rsid w:val="00436A5F"/>
    <w:rsid w:val="004426EE"/>
    <w:rsid w:val="00445181"/>
    <w:rsid w:val="00445F9A"/>
    <w:rsid w:val="00447EC3"/>
    <w:rsid w:val="004501C2"/>
    <w:rsid w:val="004514E2"/>
    <w:rsid w:val="00451764"/>
    <w:rsid w:val="004638AA"/>
    <w:rsid w:val="004818FB"/>
    <w:rsid w:val="00481D73"/>
    <w:rsid w:val="004827AB"/>
    <w:rsid w:val="00485CA6"/>
    <w:rsid w:val="00486FC4"/>
    <w:rsid w:val="00487251"/>
    <w:rsid w:val="004A2C24"/>
    <w:rsid w:val="004A5F5F"/>
    <w:rsid w:val="004B42F9"/>
    <w:rsid w:val="004C4702"/>
    <w:rsid w:val="004D4753"/>
    <w:rsid w:val="004D4CC5"/>
    <w:rsid w:val="004D4D83"/>
    <w:rsid w:val="004E21AD"/>
    <w:rsid w:val="004E2AEA"/>
    <w:rsid w:val="00503509"/>
    <w:rsid w:val="00504331"/>
    <w:rsid w:val="00516F09"/>
    <w:rsid w:val="00526AC8"/>
    <w:rsid w:val="0054093F"/>
    <w:rsid w:val="00544A80"/>
    <w:rsid w:val="00544AC3"/>
    <w:rsid w:val="00564149"/>
    <w:rsid w:val="005773B2"/>
    <w:rsid w:val="005812B6"/>
    <w:rsid w:val="005A22C7"/>
    <w:rsid w:val="005A2E9A"/>
    <w:rsid w:val="005A3136"/>
    <w:rsid w:val="005A3884"/>
    <w:rsid w:val="005C001F"/>
    <w:rsid w:val="005C111D"/>
    <w:rsid w:val="005C743D"/>
    <w:rsid w:val="005C7AB4"/>
    <w:rsid w:val="005D132C"/>
    <w:rsid w:val="005E6F03"/>
    <w:rsid w:val="005F0035"/>
    <w:rsid w:val="005F0806"/>
    <w:rsid w:val="00600E69"/>
    <w:rsid w:val="0060116D"/>
    <w:rsid w:val="00604697"/>
    <w:rsid w:val="00615701"/>
    <w:rsid w:val="00620974"/>
    <w:rsid w:val="00624C26"/>
    <w:rsid w:val="00632C53"/>
    <w:rsid w:val="0063530D"/>
    <w:rsid w:val="00651EAC"/>
    <w:rsid w:val="00653E3D"/>
    <w:rsid w:val="00662029"/>
    <w:rsid w:val="00664218"/>
    <w:rsid w:val="00664F5C"/>
    <w:rsid w:val="006663AF"/>
    <w:rsid w:val="00676794"/>
    <w:rsid w:val="0068168F"/>
    <w:rsid w:val="00694903"/>
    <w:rsid w:val="006A1CA5"/>
    <w:rsid w:val="006A273A"/>
    <w:rsid w:val="006A6CC3"/>
    <w:rsid w:val="006B207B"/>
    <w:rsid w:val="006B4181"/>
    <w:rsid w:val="006C026D"/>
    <w:rsid w:val="006C5F28"/>
    <w:rsid w:val="006D3B9B"/>
    <w:rsid w:val="006E4BDB"/>
    <w:rsid w:val="007023DF"/>
    <w:rsid w:val="007034A4"/>
    <w:rsid w:val="00706987"/>
    <w:rsid w:val="007140FF"/>
    <w:rsid w:val="007148C3"/>
    <w:rsid w:val="007177C2"/>
    <w:rsid w:val="00724D3C"/>
    <w:rsid w:val="007258C1"/>
    <w:rsid w:val="00725AE3"/>
    <w:rsid w:val="0073206C"/>
    <w:rsid w:val="00735EEC"/>
    <w:rsid w:val="0074569B"/>
    <w:rsid w:val="00747BB8"/>
    <w:rsid w:val="007507F4"/>
    <w:rsid w:val="007573DB"/>
    <w:rsid w:val="00766426"/>
    <w:rsid w:val="007679E3"/>
    <w:rsid w:val="007720C4"/>
    <w:rsid w:val="00781AA1"/>
    <w:rsid w:val="0079783A"/>
    <w:rsid w:val="00797ACF"/>
    <w:rsid w:val="007A08E5"/>
    <w:rsid w:val="007A1A13"/>
    <w:rsid w:val="007A58A3"/>
    <w:rsid w:val="007B3F2B"/>
    <w:rsid w:val="007C6421"/>
    <w:rsid w:val="007D0E22"/>
    <w:rsid w:val="007D2D75"/>
    <w:rsid w:val="007D66FF"/>
    <w:rsid w:val="007E258C"/>
    <w:rsid w:val="007E7B4C"/>
    <w:rsid w:val="007F0F58"/>
    <w:rsid w:val="007F48EF"/>
    <w:rsid w:val="007F6EA0"/>
    <w:rsid w:val="00811C1B"/>
    <w:rsid w:val="00823D21"/>
    <w:rsid w:val="00841ECB"/>
    <w:rsid w:val="00867BAF"/>
    <w:rsid w:val="00890215"/>
    <w:rsid w:val="00891EB2"/>
    <w:rsid w:val="008A6C44"/>
    <w:rsid w:val="008B160F"/>
    <w:rsid w:val="008C138D"/>
    <w:rsid w:val="008C2179"/>
    <w:rsid w:val="008C3D84"/>
    <w:rsid w:val="008C63FA"/>
    <w:rsid w:val="008D0CCC"/>
    <w:rsid w:val="008E7C14"/>
    <w:rsid w:val="008F55E5"/>
    <w:rsid w:val="008F57B8"/>
    <w:rsid w:val="009249E4"/>
    <w:rsid w:val="00924C06"/>
    <w:rsid w:val="00932480"/>
    <w:rsid w:val="00950915"/>
    <w:rsid w:val="009535A8"/>
    <w:rsid w:val="00954A83"/>
    <w:rsid w:val="00981C83"/>
    <w:rsid w:val="009B178C"/>
    <w:rsid w:val="009B219A"/>
    <w:rsid w:val="009C64F3"/>
    <w:rsid w:val="009D236F"/>
    <w:rsid w:val="009E55EA"/>
    <w:rsid w:val="00A0135A"/>
    <w:rsid w:val="00A03B48"/>
    <w:rsid w:val="00A04B5B"/>
    <w:rsid w:val="00A059A7"/>
    <w:rsid w:val="00A131B0"/>
    <w:rsid w:val="00A20972"/>
    <w:rsid w:val="00A27B00"/>
    <w:rsid w:val="00A400C6"/>
    <w:rsid w:val="00A43FFC"/>
    <w:rsid w:val="00A47980"/>
    <w:rsid w:val="00A511CA"/>
    <w:rsid w:val="00A52494"/>
    <w:rsid w:val="00A52DE6"/>
    <w:rsid w:val="00A54CF5"/>
    <w:rsid w:val="00A60074"/>
    <w:rsid w:val="00A61472"/>
    <w:rsid w:val="00A67B28"/>
    <w:rsid w:val="00A74D4F"/>
    <w:rsid w:val="00A7522A"/>
    <w:rsid w:val="00A7578C"/>
    <w:rsid w:val="00A94195"/>
    <w:rsid w:val="00AA57AB"/>
    <w:rsid w:val="00AB3594"/>
    <w:rsid w:val="00AC48FE"/>
    <w:rsid w:val="00AD352D"/>
    <w:rsid w:val="00AE1AA7"/>
    <w:rsid w:val="00AE4162"/>
    <w:rsid w:val="00AF6459"/>
    <w:rsid w:val="00B13544"/>
    <w:rsid w:val="00B417F9"/>
    <w:rsid w:val="00B4708E"/>
    <w:rsid w:val="00B5130F"/>
    <w:rsid w:val="00B82E4D"/>
    <w:rsid w:val="00B83EBA"/>
    <w:rsid w:val="00BA2A46"/>
    <w:rsid w:val="00BA3673"/>
    <w:rsid w:val="00BA3BCF"/>
    <w:rsid w:val="00BA4742"/>
    <w:rsid w:val="00BA5D36"/>
    <w:rsid w:val="00BB4880"/>
    <w:rsid w:val="00BC1E7F"/>
    <w:rsid w:val="00BD68B9"/>
    <w:rsid w:val="00BE7A39"/>
    <w:rsid w:val="00BF13B1"/>
    <w:rsid w:val="00BF1EAB"/>
    <w:rsid w:val="00C05507"/>
    <w:rsid w:val="00C07301"/>
    <w:rsid w:val="00C20D69"/>
    <w:rsid w:val="00C23D92"/>
    <w:rsid w:val="00C307E4"/>
    <w:rsid w:val="00C33A0A"/>
    <w:rsid w:val="00C40263"/>
    <w:rsid w:val="00C5037C"/>
    <w:rsid w:val="00C5194D"/>
    <w:rsid w:val="00C54A84"/>
    <w:rsid w:val="00C61F24"/>
    <w:rsid w:val="00C66654"/>
    <w:rsid w:val="00C72743"/>
    <w:rsid w:val="00C75CAB"/>
    <w:rsid w:val="00C80043"/>
    <w:rsid w:val="00C82624"/>
    <w:rsid w:val="00C900D1"/>
    <w:rsid w:val="00C948A0"/>
    <w:rsid w:val="00D015FC"/>
    <w:rsid w:val="00D03B9F"/>
    <w:rsid w:val="00D106C2"/>
    <w:rsid w:val="00D3601A"/>
    <w:rsid w:val="00D45239"/>
    <w:rsid w:val="00D46284"/>
    <w:rsid w:val="00D57633"/>
    <w:rsid w:val="00D57C16"/>
    <w:rsid w:val="00D677EE"/>
    <w:rsid w:val="00D714C0"/>
    <w:rsid w:val="00D724EF"/>
    <w:rsid w:val="00D7278C"/>
    <w:rsid w:val="00D83478"/>
    <w:rsid w:val="00DB142B"/>
    <w:rsid w:val="00DC3357"/>
    <w:rsid w:val="00DC4859"/>
    <w:rsid w:val="00DD115C"/>
    <w:rsid w:val="00DE4E0C"/>
    <w:rsid w:val="00DE634D"/>
    <w:rsid w:val="00DE7E28"/>
    <w:rsid w:val="00DF63DA"/>
    <w:rsid w:val="00E0308A"/>
    <w:rsid w:val="00E12FAB"/>
    <w:rsid w:val="00E1539A"/>
    <w:rsid w:val="00E26C70"/>
    <w:rsid w:val="00E2724E"/>
    <w:rsid w:val="00E31BA0"/>
    <w:rsid w:val="00E36E02"/>
    <w:rsid w:val="00E4235C"/>
    <w:rsid w:val="00E44D67"/>
    <w:rsid w:val="00E46D68"/>
    <w:rsid w:val="00E47AC1"/>
    <w:rsid w:val="00E87541"/>
    <w:rsid w:val="00E978D3"/>
    <w:rsid w:val="00EA5CEC"/>
    <w:rsid w:val="00EC04C4"/>
    <w:rsid w:val="00EC309D"/>
    <w:rsid w:val="00F104BA"/>
    <w:rsid w:val="00F148D8"/>
    <w:rsid w:val="00F2058D"/>
    <w:rsid w:val="00F22776"/>
    <w:rsid w:val="00F23D5B"/>
    <w:rsid w:val="00F246F9"/>
    <w:rsid w:val="00F3579A"/>
    <w:rsid w:val="00F40215"/>
    <w:rsid w:val="00F4495B"/>
    <w:rsid w:val="00F46140"/>
    <w:rsid w:val="00F61951"/>
    <w:rsid w:val="00F64628"/>
    <w:rsid w:val="00F73306"/>
    <w:rsid w:val="00F747AF"/>
    <w:rsid w:val="00F766B3"/>
    <w:rsid w:val="00F81312"/>
    <w:rsid w:val="00F8222C"/>
    <w:rsid w:val="00F83D34"/>
    <w:rsid w:val="00F93908"/>
    <w:rsid w:val="00F93D2E"/>
    <w:rsid w:val="00FA0E0C"/>
    <w:rsid w:val="00FA4DBC"/>
    <w:rsid w:val="00FA7FBC"/>
    <w:rsid w:val="00FC60AC"/>
    <w:rsid w:val="00FE10DD"/>
    <w:rsid w:val="00FE22C6"/>
    <w:rsid w:val="00FE252A"/>
    <w:rsid w:val="00FE4905"/>
    <w:rsid w:val="00FE5910"/>
    <w:rsid w:val="00FE68BF"/>
    <w:rsid w:val="00FE730D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86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56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E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86FC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8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486FC4"/>
  </w:style>
  <w:style w:type="character" w:styleId="nfasis">
    <w:name w:val="Emphasis"/>
    <w:basedOn w:val="Fuentedeprrafopredeter"/>
    <w:uiPriority w:val="20"/>
    <w:qFormat/>
    <w:rsid w:val="00486FC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86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86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56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E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86FC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8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486FC4"/>
  </w:style>
  <w:style w:type="character" w:styleId="nfasis">
    <w:name w:val="Emphasis"/>
    <w:basedOn w:val="Fuentedeprrafopredeter"/>
    <w:uiPriority w:val="20"/>
    <w:qFormat/>
    <w:rsid w:val="00486FC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86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rtich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4554</Words>
  <Characters>25050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Dra Pascual</cp:lastModifiedBy>
  <cp:revision>3</cp:revision>
  <cp:lastPrinted>2016-05-23T20:27:00Z</cp:lastPrinted>
  <dcterms:created xsi:type="dcterms:W3CDTF">2016-07-20T22:11:00Z</dcterms:created>
  <dcterms:modified xsi:type="dcterms:W3CDTF">2016-08-02T22:48:00Z</dcterms:modified>
</cp:coreProperties>
</file>